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F6674">
      <w:pPr>
        <w:widowControl/>
        <w:spacing w:line="480" w:lineRule="exact"/>
        <w:jc w:val="center"/>
        <w:rPr>
          <w:rFonts w:hint="eastAsia" w:ascii="方正小标宋简体" w:hAnsi="华文中宋" w:eastAsia="方正小标宋简体"/>
          <w:color w:val="000000"/>
          <w:sz w:val="44"/>
          <w:szCs w:val="40"/>
        </w:rPr>
      </w:pPr>
      <w:r>
        <w:rPr>
          <w:rFonts w:hint="eastAsia" w:ascii="方正小标宋简体" w:hAnsi="华文中宋" w:eastAsia="方正小标宋简体"/>
          <w:color w:val="000000"/>
          <w:sz w:val="44"/>
          <w:szCs w:val="40"/>
        </w:rPr>
        <w:t>中国新闻奖新闻摄影参评作品推荐表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26"/>
        <w:gridCol w:w="284"/>
        <w:gridCol w:w="473"/>
        <w:gridCol w:w="426"/>
        <w:gridCol w:w="518"/>
        <w:gridCol w:w="423"/>
        <w:gridCol w:w="851"/>
        <w:gridCol w:w="50"/>
        <w:gridCol w:w="802"/>
        <w:gridCol w:w="91"/>
        <w:gridCol w:w="1185"/>
        <w:gridCol w:w="142"/>
        <w:gridCol w:w="466"/>
        <w:gridCol w:w="241"/>
        <w:gridCol w:w="697"/>
        <w:gridCol w:w="164"/>
        <w:gridCol w:w="1259"/>
      </w:tblGrid>
      <w:tr w14:paraId="3AE3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8" w:type="dxa"/>
            <w:gridSpan w:val="2"/>
            <w:noWrap w:val="0"/>
            <w:vAlign w:val="center"/>
          </w:tcPr>
          <w:p w14:paraId="235971F0">
            <w:pPr>
              <w:widowControl/>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标题</w:t>
            </w:r>
          </w:p>
        </w:tc>
        <w:tc>
          <w:tcPr>
            <w:tcW w:w="3827" w:type="dxa"/>
            <w:gridSpan w:val="8"/>
            <w:tcBorders>
              <w:top w:val="single" w:color="auto" w:sz="4" w:space="0"/>
              <w:left w:val="single" w:color="auto" w:sz="4" w:space="0"/>
              <w:bottom w:val="single" w:color="auto" w:sz="4" w:space="0"/>
              <w:right w:val="single" w:color="auto" w:sz="4" w:space="0"/>
            </w:tcBorders>
            <w:noWrap w:val="0"/>
            <w:vAlign w:val="center"/>
          </w:tcPr>
          <w:p w14:paraId="35A788B4">
            <w:pPr>
              <w:spacing w:line="380" w:lineRule="exact"/>
              <w:jc w:val="center"/>
              <w:rPr>
                <w:rFonts w:hint="eastAsia" w:ascii="仿宋" w:hAnsi="仿宋" w:eastAsia="仿宋"/>
                <w:color w:val="000000"/>
                <w:sz w:val="21"/>
                <w:szCs w:val="21"/>
              </w:rPr>
            </w:pPr>
            <w:r>
              <w:rPr>
                <w:rFonts w:hint="eastAsia" w:ascii="仿宋" w:hAnsi="仿宋" w:eastAsia="仿宋"/>
                <w:color w:val="000000"/>
                <w:sz w:val="21"/>
                <w:szCs w:val="21"/>
              </w:rPr>
              <w:t>全球野生稻有了新家</w:t>
            </w:r>
          </w:p>
        </w:tc>
        <w:tc>
          <w:tcPr>
            <w:tcW w:w="1418" w:type="dxa"/>
            <w:gridSpan w:val="3"/>
            <w:tcBorders>
              <w:top w:val="single" w:color="auto" w:sz="4" w:space="0"/>
              <w:left w:val="single" w:color="auto" w:sz="4" w:space="0"/>
              <w:bottom w:val="single" w:color="auto" w:sz="4" w:space="0"/>
              <w:right w:val="single" w:color="auto" w:sz="4" w:space="0"/>
            </w:tcBorders>
            <w:noWrap w:val="0"/>
            <w:vAlign w:val="center"/>
          </w:tcPr>
          <w:p w14:paraId="2636222A">
            <w:pPr>
              <w:widowControl/>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作品类别</w:t>
            </w:r>
          </w:p>
        </w:tc>
        <w:tc>
          <w:tcPr>
            <w:tcW w:w="2827" w:type="dxa"/>
            <w:gridSpan w:val="5"/>
            <w:tcBorders>
              <w:top w:val="single" w:color="auto" w:sz="4" w:space="0"/>
              <w:left w:val="single" w:color="auto" w:sz="4" w:space="0"/>
              <w:bottom w:val="single" w:color="auto" w:sz="4" w:space="0"/>
              <w:right w:val="single" w:color="auto" w:sz="4" w:space="0"/>
            </w:tcBorders>
            <w:noWrap w:val="0"/>
            <w:vAlign w:val="center"/>
          </w:tcPr>
          <w:p w14:paraId="46FEF879">
            <w:pPr>
              <w:spacing w:line="440" w:lineRule="exact"/>
              <w:jc w:val="center"/>
              <w:rPr>
                <w:rFonts w:hint="eastAsia" w:ascii="仿宋" w:hAnsi="仿宋" w:eastAsia="仿宋"/>
                <w:color w:val="000000"/>
                <w:sz w:val="21"/>
                <w:szCs w:val="21"/>
              </w:rPr>
            </w:pPr>
            <w:r>
              <w:rPr>
                <w:rFonts w:hint="eastAsia" w:ascii="仿宋" w:hAnsi="仿宋" w:eastAsia="仿宋"/>
                <w:color w:val="000000"/>
                <w:sz w:val="21"/>
                <w:szCs w:val="21"/>
              </w:rPr>
              <w:t>新闻摄影</w:t>
            </w:r>
            <w:r>
              <w:rPr>
                <w:rFonts w:hint="eastAsia" w:ascii="仿宋" w:hAnsi="仿宋" w:eastAsia="仿宋"/>
                <w:color w:val="000000"/>
                <w:sz w:val="21"/>
                <w:szCs w:val="21"/>
                <w:u w:val="single"/>
              </w:rPr>
              <w:t xml:space="preserve"> </w:t>
            </w:r>
            <w:r>
              <w:rPr>
                <w:rFonts w:hint="eastAsia" w:ascii="仿宋" w:hAnsi="仿宋" w:eastAsia="仿宋"/>
                <w:color w:val="000000"/>
                <w:sz w:val="21"/>
                <w:szCs w:val="21"/>
              </w:rPr>
              <w:t>组照</w:t>
            </w:r>
            <w:r>
              <w:rPr>
                <w:rFonts w:hint="eastAsia" w:ascii="仿宋" w:hAnsi="仿宋" w:eastAsia="仿宋"/>
                <w:color w:val="000000"/>
                <w:sz w:val="21"/>
                <w:szCs w:val="21"/>
                <w:u w:val="single"/>
              </w:rPr>
              <w:t xml:space="preserve"> </w:t>
            </w:r>
            <w:r>
              <w:rPr>
                <w:rFonts w:hint="eastAsia" w:ascii="仿宋" w:hAnsi="仿宋" w:eastAsia="仿宋"/>
                <w:color w:val="000000"/>
                <w:sz w:val="21"/>
                <w:szCs w:val="21"/>
              </w:rPr>
              <w:t>类</w:t>
            </w:r>
          </w:p>
          <w:p w14:paraId="0647A453">
            <w:pPr>
              <w:spacing w:line="320" w:lineRule="exact"/>
              <w:jc w:val="center"/>
              <w:rPr>
                <w:rFonts w:hint="eastAsia" w:ascii="仿宋" w:hAnsi="仿宋" w:eastAsia="仿宋"/>
                <w:color w:val="000000"/>
                <w:sz w:val="21"/>
                <w:szCs w:val="21"/>
                <w:lang w:eastAsia="zh-CN"/>
              </w:rPr>
            </w:pPr>
          </w:p>
        </w:tc>
      </w:tr>
      <w:tr w14:paraId="660F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618" w:type="dxa"/>
            <w:gridSpan w:val="2"/>
            <w:noWrap w:val="0"/>
            <w:vAlign w:val="center"/>
          </w:tcPr>
          <w:p w14:paraId="3A466CB6">
            <w:pPr>
              <w:widowControl/>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作者</w:t>
            </w:r>
          </w:p>
        </w:tc>
        <w:tc>
          <w:tcPr>
            <w:tcW w:w="3827" w:type="dxa"/>
            <w:gridSpan w:val="8"/>
            <w:tcBorders>
              <w:top w:val="single" w:color="auto" w:sz="4" w:space="0"/>
              <w:left w:val="single" w:color="auto" w:sz="4" w:space="0"/>
              <w:bottom w:val="single" w:color="auto" w:sz="4" w:space="0"/>
              <w:right w:val="single" w:color="auto" w:sz="4" w:space="0"/>
            </w:tcBorders>
            <w:noWrap w:val="0"/>
            <w:vAlign w:val="center"/>
          </w:tcPr>
          <w:p w14:paraId="596F8444">
            <w:pPr>
              <w:jc w:val="center"/>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张茂</w:t>
            </w:r>
          </w:p>
        </w:tc>
        <w:tc>
          <w:tcPr>
            <w:tcW w:w="1418" w:type="dxa"/>
            <w:gridSpan w:val="3"/>
            <w:tcBorders>
              <w:top w:val="single" w:color="auto" w:sz="4" w:space="0"/>
              <w:left w:val="single" w:color="auto" w:sz="4" w:space="0"/>
              <w:bottom w:val="single" w:color="auto" w:sz="4" w:space="0"/>
              <w:right w:val="single" w:color="auto" w:sz="4" w:space="0"/>
            </w:tcBorders>
            <w:noWrap w:val="0"/>
            <w:vAlign w:val="center"/>
          </w:tcPr>
          <w:p w14:paraId="60A58456">
            <w:pPr>
              <w:widowControl/>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编辑</w:t>
            </w:r>
          </w:p>
        </w:tc>
        <w:tc>
          <w:tcPr>
            <w:tcW w:w="2827" w:type="dxa"/>
            <w:gridSpan w:val="5"/>
            <w:tcBorders>
              <w:top w:val="single" w:color="auto" w:sz="4" w:space="0"/>
              <w:left w:val="single" w:color="auto" w:sz="4" w:space="0"/>
              <w:bottom w:val="single" w:color="auto" w:sz="4" w:space="0"/>
              <w:right w:val="single" w:color="auto" w:sz="4" w:space="0"/>
            </w:tcBorders>
            <w:noWrap w:val="0"/>
            <w:vAlign w:val="center"/>
          </w:tcPr>
          <w:p w14:paraId="5874C326">
            <w:pPr>
              <w:jc w:val="center"/>
              <w:rPr>
                <w:rFonts w:hint="eastAsia" w:ascii="仿宋" w:hAnsi="仿宋" w:eastAsia="仿宋"/>
                <w:color w:val="000000"/>
                <w:sz w:val="21"/>
                <w:szCs w:val="21"/>
              </w:rPr>
            </w:pPr>
            <w:r>
              <w:rPr>
                <w:rFonts w:hint="eastAsia" w:ascii="仿宋" w:hAnsi="仿宋" w:eastAsia="仿宋"/>
                <w:color w:val="000000"/>
                <w:sz w:val="21"/>
                <w:szCs w:val="21"/>
              </w:rPr>
              <w:t>（集体）张雯旻、卓上雄、邱江华、陈奕霖</w:t>
            </w:r>
          </w:p>
        </w:tc>
      </w:tr>
      <w:tr w14:paraId="3BD1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618" w:type="dxa"/>
            <w:gridSpan w:val="2"/>
            <w:noWrap w:val="0"/>
            <w:vAlign w:val="center"/>
          </w:tcPr>
          <w:p w14:paraId="3989CBD2">
            <w:pPr>
              <w:widowControl/>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0"/>
              </w:rPr>
              <w:t>原创单位</w:t>
            </w:r>
          </w:p>
        </w:tc>
        <w:tc>
          <w:tcPr>
            <w:tcW w:w="3827" w:type="dxa"/>
            <w:gridSpan w:val="8"/>
            <w:tcBorders>
              <w:top w:val="single" w:color="auto" w:sz="4" w:space="0"/>
              <w:left w:val="single" w:color="auto" w:sz="4" w:space="0"/>
              <w:bottom w:val="single" w:color="auto" w:sz="4" w:space="0"/>
              <w:right w:val="single" w:color="auto" w:sz="4" w:space="0"/>
            </w:tcBorders>
            <w:noWrap w:val="0"/>
            <w:vAlign w:val="center"/>
          </w:tcPr>
          <w:p w14:paraId="50458E9C">
            <w:pPr>
              <w:jc w:val="center"/>
              <w:rPr>
                <w:rFonts w:hint="eastAsia" w:ascii="仿宋" w:hAnsi="仿宋" w:eastAsia="仿宋"/>
                <w:color w:val="000000"/>
                <w:sz w:val="21"/>
                <w:szCs w:val="21"/>
              </w:rPr>
            </w:pPr>
            <w:r>
              <w:rPr>
                <w:rFonts w:hint="eastAsia" w:ascii="仿宋" w:hAnsi="仿宋" w:eastAsia="仿宋"/>
                <w:color w:val="000000"/>
                <w:sz w:val="21"/>
                <w:szCs w:val="21"/>
              </w:rPr>
              <w:t>海南日报</w:t>
            </w:r>
          </w:p>
        </w:tc>
        <w:tc>
          <w:tcPr>
            <w:tcW w:w="1418" w:type="dxa"/>
            <w:gridSpan w:val="3"/>
            <w:tcBorders>
              <w:top w:val="single" w:color="auto" w:sz="4" w:space="0"/>
              <w:left w:val="single" w:color="auto" w:sz="4" w:space="0"/>
              <w:bottom w:val="single" w:color="auto" w:sz="4" w:space="0"/>
              <w:right w:val="single" w:color="auto" w:sz="4" w:space="0"/>
            </w:tcBorders>
            <w:noWrap w:val="0"/>
            <w:vAlign w:val="center"/>
          </w:tcPr>
          <w:p w14:paraId="07A82764">
            <w:pPr>
              <w:widowControl/>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18"/>
              </w:rPr>
              <w:t>发布端/账号/媒体名称</w:t>
            </w:r>
          </w:p>
        </w:tc>
        <w:tc>
          <w:tcPr>
            <w:tcW w:w="2827" w:type="dxa"/>
            <w:gridSpan w:val="5"/>
            <w:tcBorders>
              <w:top w:val="single" w:color="auto" w:sz="4" w:space="0"/>
              <w:left w:val="single" w:color="auto" w:sz="4" w:space="0"/>
              <w:bottom w:val="single" w:color="auto" w:sz="4" w:space="0"/>
              <w:right w:val="single" w:color="auto" w:sz="4" w:space="0"/>
            </w:tcBorders>
            <w:noWrap w:val="0"/>
            <w:vAlign w:val="center"/>
          </w:tcPr>
          <w:p w14:paraId="69A3F753">
            <w:pPr>
              <w:jc w:val="center"/>
              <w:rPr>
                <w:rFonts w:hint="eastAsia" w:ascii="仿宋" w:hAnsi="仿宋" w:eastAsia="仿宋"/>
                <w:color w:val="000000"/>
                <w:sz w:val="21"/>
                <w:szCs w:val="21"/>
              </w:rPr>
            </w:pPr>
            <w:r>
              <w:rPr>
                <w:rFonts w:hint="eastAsia" w:ascii="仿宋" w:hAnsi="仿宋" w:eastAsia="仿宋"/>
                <w:color w:val="000000"/>
                <w:sz w:val="21"/>
                <w:szCs w:val="21"/>
              </w:rPr>
              <w:t>海南日报客户端</w:t>
            </w:r>
          </w:p>
        </w:tc>
      </w:tr>
      <w:tr w14:paraId="4E0F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8" w:type="dxa"/>
            <w:gridSpan w:val="2"/>
            <w:noWrap w:val="0"/>
            <w:vAlign w:val="center"/>
          </w:tcPr>
          <w:p w14:paraId="17CB5ADB">
            <w:pPr>
              <w:widowControl/>
              <w:snapToGrid w:val="0"/>
              <w:spacing w:line="30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刊播版面</w:t>
            </w:r>
          </w:p>
          <w:p w14:paraId="78DF0981">
            <w:pPr>
              <w:widowControl/>
              <w:snapToGrid w:val="0"/>
              <w:spacing w:line="300" w:lineRule="exact"/>
              <w:jc w:val="center"/>
              <w:rPr>
                <w:rFonts w:hint="eastAsia" w:ascii="华文中宋" w:hAnsi="华文中宋" w:eastAsia="华文中宋"/>
                <w:color w:val="000000"/>
                <w:spacing w:val="-6"/>
                <w:sz w:val="24"/>
              </w:rPr>
            </w:pPr>
            <w:r>
              <w:rPr>
                <w:rFonts w:hint="eastAsia" w:ascii="华文中宋" w:hAnsi="华文中宋" w:eastAsia="华文中宋"/>
                <w:color w:val="000000"/>
                <w:spacing w:val="-6"/>
                <w:sz w:val="24"/>
              </w:rPr>
              <w:t>(名称及版次)</w:t>
            </w:r>
          </w:p>
        </w:tc>
        <w:tc>
          <w:tcPr>
            <w:tcW w:w="3827" w:type="dxa"/>
            <w:gridSpan w:val="8"/>
            <w:tcBorders>
              <w:top w:val="single" w:color="auto" w:sz="4" w:space="0"/>
              <w:left w:val="single" w:color="auto" w:sz="4" w:space="0"/>
              <w:bottom w:val="single" w:color="auto" w:sz="4" w:space="0"/>
              <w:right w:val="single" w:color="auto" w:sz="4" w:space="0"/>
            </w:tcBorders>
            <w:noWrap w:val="0"/>
            <w:vAlign w:val="center"/>
          </w:tcPr>
          <w:p w14:paraId="323940F3">
            <w:pPr>
              <w:jc w:val="center"/>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读图</w:t>
            </w:r>
          </w:p>
        </w:tc>
        <w:tc>
          <w:tcPr>
            <w:tcW w:w="1418" w:type="dxa"/>
            <w:gridSpan w:val="3"/>
            <w:tcBorders>
              <w:top w:val="single" w:color="auto" w:sz="4" w:space="0"/>
              <w:left w:val="single" w:color="auto" w:sz="4" w:space="0"/>
              <w:bottom w:val="single" w:color="auto" w:sz="4" w:space="0"/>
              <w:right w:val="single" w:color="auto" w:sz="4" w:space="0"/>
            </w:tcBorders>
            <w:noWrap w:val="0"/>
            <w:vAlign w:val="center"/>
          </w:tcPr>
          <w:p w14:paraId="1E99BF9C">
            <w:pPr>
              <w:widowControl/>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刊播日期</w:t>
            </w:r>
          </w:p>
        </w:tc>
        <w:tc>
          <w:tcPr>
            <w:tcW w:w="2827" w:type="dxa"/>
            <w:gridSpan w:val="5"/>
            <w:tcBorders>
              <w:top w:val="single" w:color="auto" w:sz="4" w:space="0"/>
              <w:left w:val="single" w:color="auto" w:sz="4" w:space="0"/>
              <w:bottom w:val="single" w:color="auto" w:sz="4" w:space="0"/>
              <w:right w:val="single" w:color="auto" w:sz="4" w:space="0"/>
            </w:tcBorders>
            <w:noWrap w:val="0"/>
            <w:vAlign w:val="center"/>
          </w:tcPr>
          <w:p w14:paraId="6265B936">
            <w:pPr>
              <w:jc w:val="center"/>
              <w:rPr>
                <w:rFonts w:hint="eastAsia" w:ascii="仿宋" w:hAnsi="仿宋" w:eastAsia="仿宋"/>
                <w:color w:val="000000"/>
                <w:sz w:val="28"/>
              </w:rPr>
            </w:pPr>
            <w:r>
              <w:rPr>
                <w:rFonts w:hint="eastAsia" w:ascii="仿宋" w:hAnsi="仿宋" w:eastAsia="仿宋"/>
                <w:color w:val="000000"/>
                <w:sz w:val="21"/>
                <w:szCs w:val="21"/>
              </w:rPr>
              <w:t>2024年3月5日</w:t>
            </w:r>
          </w:p>
        </w:tc>
      </w:tr>
      <w:tr w14:paraId="624D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18" w:type="dxa"/>
            <w:gridSpan w:val="2"/>
            <w:noWrap w:val="0"/>
            <w:vAlign w:val="center"/>
          </w:tcPr>
          <w:p w14:paraId="781CD107">
            <w:pPr>
              <w:widowControl/>
              <w:snapToGrid w:val="0"/>
              <w:spacing w:line="320" w:lineRule="exact"/>
              <w:jc w:val="center"/>
              <w:rPr>
                <w:rFonts w:hint="eastAsia" w:ascii="华文中宋" w:hAnsi="华文中宋" w:eastAsia="华文中宋" w:cs="Times New Roman"/>
                <w:color w:val="000000"/>
                <w:w w:val="100"/>
                <w:sz w:val="28"/>
                <w:szCs w:val="20"/>
              </w:rPr>
            </w:pPr>
            <w:r>
              <w:rPr>
                <w:rFonts w:hint="eastAsia" w:ascii="华文中宋" w:hAnsi="华文中宋" w:eastAsia="华文中宋" w:cs="Times New Roman"/>
                <w:color w:val="000000"/>
                <w:w w:val="100"/>
                <w:sz w:val="28"/>
                <w:szCs w:val="20"/>
              </w:rPr>
              <w:t>新媒体</w:t>
            </w:r>
          </w:p>
          <w:p w14:paraId="42FCCB06">
            <w:pPr>
              <w:widowControl/>
              <w:snapToGrid w:val="0"/>
              <w:spacing w:line="320" w:lineRule="exact"/>
              <w:jc w:val="center"/>
              <w:rPr>
                <w:rFonts w:hint="eastAsia" w:ascii="华文中宋" w:hAnsi="华文中宋" w:eastAsia="华文中宋"/>
                <w:color w:val="000000"/>
                <w:sz w:val="24"/>
              </w:rPr>
            </w:pPr>
            <w:r>
              <w:rPr>
                <w:rFonts w:hint="eastAsia" w:ascii="华文中宋" w:hAnsi="华文中宋" w:eastAsia="华文中宋" w:cs="Times New Roman"/>
                <w:color w:val="000000"/>
                <w:w w:val="100"/>
                <w:sz w:val="28"/>
                <w:szCs w:val="20"/>
              </w:rPr>
              <w:t>作品网址</w:t>
            </w:r>
          </w:p>
        </w:tc>
        <w:tc>
          <w:tcPr>
            <w:tcW w:w="5245" w:type="dxa"/>
            <w:gridSpan w:val="11"/>
            <w:tcBorders>
              <w:top w:val="single" w:color="auto" w:sz="4" w:space="0"/>
              <w:left w:val="single" w:color="auto" w:sz="4" w:space="0"/>
              <w:bottom w:val="single" w:color="auto" w:sz="4" w:space="0"/>
              <w:right w:val="single" w:color="auto" w:sz="4" w:space="0"/>
            </w:tcBorders>
            <w:noWrap w:val="0"/>
            <w:vAlign w:val="center"/>
          </w:tcPr>
          <w:p w14:paraId="29923E6C">
            <w:pPr>
              <w:jc w:val="left"/>
              <w:rPr>
                <w:rFonts w:hint="eastAsia" w:ascii="仿宋_GB2312" w:eastAsia="仿宋_GB2312"/>
                <w:color w:val="000000"/>
                <w:szCs w:val="21"/>
              </w:rPr>
            </w:pPr>
            <w:r>
              <w:rPr>
                <w:rFonts w:hint="eastAsia" w:ascii="仿宋" w:hAnsi="仿宋" w:eastAsia="仿宋"/>
                <w:color w:val="000000"/>
                <w:szCs w:val="21"/>
              </w:rPr>
              <w:t>https://res.hndaily.cn/file/news/20240305/cid_14_463068.html</w:t>
            </w:r>
          </w:p>
        </w:tc>
        <w:tc>
          <w:tcPr>
            <w:tcW w:w="1568" w:type="dxa"/>
            <w:gridSpan w:val="4"/>
            <w:tcBorders>
              <w:top w:val="single" w:color="auto" w:sz="4" w:space="0"/>
              <w:left w:val="single" w:color="auto" w:sz="4" w:space="0"/>
              <w:bottom w:val="single" w:color="auto" w:sz="4" w:space="0"/>
              <w:right w:val="single" w:color="auto" w:sz="4" w:space="0"/>
            </w:tcBorders>
            <w:noWrap w:val="0"/>
            <w:vAlign w:val="center"/>
          </w:tcPr>
          <w:p w14:paraId="31FE9C26">
            <w:pPr>
              <w:widowControl/>
              <w:spacing w:line="300" w:lineRule="exact"/>
              <w:jc w:val="center"/>
              <w:rPr>
                <w:rFonts w:hint="eastAsia" w:ascii="华文中宋" w:hAnsi="华文中宋" w:eastAsia="华文中宋" w:cs="Times New Roman"/>
                <w:color w:val="000000"/>
                <w:spacing w:val="-6"/>
                <w:sz w:val="24"/>
                <w:szCs w:val="24"/>
                <w:lang w:val="en-US" w:eastAsia="zh-CN"/>
              </w:rPr>
            </w:pPr>
            <w:r>
              <w:rPr>
                <w:rFonts w:hint="eastAsia" w:ascii="华文中宋" w:hAnsi="华文中宋" w:eastAsia="华文中宋" w:cs="Times New Roman"/>
                <w:color w:val="000000"/>
                <w:spacing w:val="-6"/>
                <w:sz w:val="24"/>
                <w:szCs w:val="24"/>
                <w:lang w:val="en-US" w:eastAsia="zh-CN"/>
              </w:rPr>
              <w:t>是否为</w:t>
            </w:r>
          </w:p>
          <w:p w14:paraId="3D9E87CA">
            <w:pPr>
              <w:widowControl/>
              <w:snapToGrid w:val="0"/>
              <w:spacing w:line="300" w:lineRule="exact"/>
              <w:jc w:val="center"/>
              <w:rPr>
                <w:rFonts w:hint="eastAsia" w:ascii="仿宋" w:hAnsi="仿宋" w:eastAsia="仿宋"/>
                <w:color w:val="000000"/>
                <w:szCs w:val="21"/>
              </w:rPr>
            </w:pPr>
            <w:r>
              <w:rPr>
                <w:rFonts w:hint="eastAsia" w:ascii="华文中宋" w:hAnsi="华文中宋" w:eastAsia="华文中宋" w:cs="Times New Roman"/>
                <w:color w:val="000000"/>
                <w:spacing w:val="-6"/>
                <w:sz w:val="24"/>
                <w:szCs w:val="24"/>
                <w:lang w:val="en-US" w:eastAsia="zh-CN"/>
              </w:rPr>
              <w:t>“三好作品”</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7DDF99AA">
            <w:pPr>
              <w:jc w:val="center"/>
              <w:rPr>
                <w:rFonts w:hint="eastAsia" w:ascii="仿宋" w:hAnsi="仿宋" w:eastAsia="仿宋"/>
                <w:color w:val="000000"/>
                <w:szCs w:val="21"/>
                <w:lang w:eastAsia="zh-CN"/>
              </w:rPr>
            </w:pPr>
            <w:r>
              <w:rPr>
                <w:rFonts w:hint="eastAsia" w:ascii="仿宋" w:hAnsi="仿宋" w:eastAsia="仿宋"/>
                <w:color w:val="000000"/>
                <w:szCs w:val="21"/>
                <w:lang w:eastAsia="zh-CN"/>
              </w:rPr>
              <w:t>否</w:t>
            </w:r>
          </w:p>
        </w:tc>
      </w:tr>
      <w:tr w14:paraId="693F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319" w:type="dxa"/>
            <w:gridSpan w:val="6"/>
            <w:tcBorders>
              <w:right w:val="single" w:color="auto" w:sz="4" w:space="0"/>
            </w:tcBorders>
            <w:noWrap w:val="0"/>
            <w:vAlign w:val="center"/>
          </w:tcPr>
          <w:p w14:paraId="7230DF01">
            <w:pPr>
              <w:widowControl/>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所配合的文字报道标题</w:t>
            </w:r>
          </w:p>
        </w:tc>
        <w:tc>
          <w:tcPr>
            <w:tcW w:w="6371" w:type="dxa"/>
            <w:gridSpan w:val="12"/>
            <w:tcBorders>
              <w:right w:val="single" w:color="auto" w:sz="4" w:space="0"/>
            </w:tcBorders>
            <w:noWrap w:val="0"/>
            <w:vAlign w:val="center"/>
          </w:tcPr>
          <w:p w14:paraId="5C11572F">
            <w:pPr>
              <w:jc w:val="center"/>
              <w:rPr>
                <w:rFonts w:hint="eastAsia" w:ascii="仿宋" w:hAnsi="仿宋" w:eastAsia="仿宋"/>
                <w:color w:val="000000"/>
                <w:szCs w:val="21"/>
              </w:rPr>
            </w:pPr>
            <w:r>
              <w:rPr>
                <w:rFonts w:hint="eastAsia" w:ascii="仿宋" w:hAnsi="仿宋" w:eastAsia="仿宋"/>
                <w:color w:val="000000"/>
                <w:szCs w:val="21"/>
              </w:rPr>
              <w:t>全球野生稻有了新家</w:t>
            </w:r>
          </w:p>
        </w:tc>
      </w:tr>
      <w:tr w14:paraId="6020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5" w:hRule="atLeast"/>
          <w:jc w:val="center"/>
        </w:trPr>
        <w:tc>
          <w:tcPr>
            <w:tcW w:w="792" w:type="dxa"/>
            <w:noWrap w:val="0"/>
            <w:vAlign w:val="center"/>
          </w:tcPr>
          <w:p w14:paraId="4AA0BEA6">
            <w:pPr>
              <w:spacing w:line="320" w:lineRule="exact"/>
              <w:jc w:val="center"/>
              <w:rPr>
                <w:rFonts w:hint="eastAsia" w:ascii="华文中宋" w:hAnsi="华文中宋" w:eastAsia="华文中宋"/>
                <w:color w:val="000000"/>
                <w:sz w:val="28"/>
              </w:rPr>
            </w:pPr>
            <w:r>
              <w:rPr>
                <w:rFonts w:hint="eastAsia" w:ascii="华文中宋" w:hAnsi="华文中宋" w:eastAsia="华文中宋"/>
                <w:sz w:val="28"/>
              </w:rPr>
              <w:t xml:space="preserve"> </w:t>
            </w:r>
            <w:r>
              <w:rPr>
                <w:rFonts w:hint="eastAsia" w:ascii="华文中宋" w:hAnsi="华文中宋" w:eastAsia="华文中宋"/>
                <w:color w:val="000000"/>
                <w:sz w:val="28"/>
              </w:rPr>
              <w:t xml:space="preserve"> ︵</w:t>
            </w:r>
          </w:p>
          <w:p w14:paraId="56960CAC">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采作</w:t>
            </w:r>
          </w:p>
          <w:p w14:paraId="163F87D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编品</w:t>
            </w:r>
          </w:p>
          <w:p w14:paraId="3DDC863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过简</w:t>
            </w:r>
          </w:p>
          <w:p w14:paraId="16B3AF9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程介</w:t>
            </w:r>
          </w:p>
          <w:p w14:paraId="22350274">
            <w:pPr>
              <w:widowControl w:val="0"/>
              <w:spacing w:line="34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rPr>
              <w:t xml:space="preserve">  ︶</w:t>
            </w:r>
          </w:p>
        </w:tc>
        <w:tc>
          <w:tcPr>
            <w:tcW w:w="8898" w:type="dxa"/>
            <w:gridSpan w:val="17"/>
            <w:tcBorders>
              <w:top w:val="single" w:color="auto" w:sz="4" w:space="0"/>
              <w:left w:val="single" w:color="auto" w:sz="4" w:space="0"/>
              <w:right w:val="single" w:color="auto" w:sz="4" w:space="0"/>
            </w:tcBorders>
            <w:noWrap w:val="0"/>
            <w:vAlign w:val="center"/>
          </w:tcPr>
          <w:p w14:paraId="329D11ED">
            <w:pPr>
              <w:widowControl w:val="0"/>
              <w:ind w:firstLine="420" w:firstLineChars="200"/>
              <w:rPr>
                <w:rFonts w:hint="eastAsia" w:ascii="仿宋" w:hAnsi="仿宋" w:eastAsia="仿宋" w:cs="仿宋"/>
                <w:color w:val="000000"/>
                <w:sz w:val="21"/>
                <w:szCs w:val="15"/>
              </w:rPr>
            </w:pPr>
            <w:r>
              <w:rPr>
                <w:rFonts w:hint="eastAsia" w:ascii="仿宋" w:hAnsi="仿宋" w:eastAsia="仿宋" w:cs="仿宋"/>
                <w:color w:val="000000"/>
                <w:sz w:val="21"/>
                <w:szCs w:val="15"/>
              </w:rPr>
              <w:t>野生稻被称为“植物中的大熊猫”，是水稻育种改良的核心基因库，其保护关乎国家粮食安全和农业可持续发展。记者意识到该题材的重要性，跟随科研人员深入深山野林和野生稻种质资源圃等地进行长期跟踪拍摄。最终，专题作品经精心编辑成型，完整展现了我国科研团队在全球最大野生稻资源圃中的努力，彰显我国在种质资源保护领域的国际贡献。</w:t>
            </w:r>
          </w:p>
          <w:p w14:paraId="207A2634">
            <w:pPr>
              <w:widowControl w:val="0"/>
              <w:ind w:firstLine="420" w:firstLineChars="200"/>
              <w:rPr>
                <w:rFonts w:hint="eastAsia" w:ascii="仿宋" w:hAnsi="仿宋" w:eastAsia="仿宋"/>
                <w:color w:val="000000"/>
                <w:szCs w:val="21"/>
              </w:rPr>
            </w:pPr>
            <w:r>
              <w:rPr>
                <w:rFonts w:hint="eastAsia" w:ascii="仿宋" w:hAnsi="仿宋" w:eastAsia="仿宋" w:cs="仿宋"/>
                <w:color w:val="000000"/>
                <w:sz w:val="21"/>
                <w:szCs w:val="15"/>
              </w:rPr>
              <w:t>作品具有时效性，记录了野生稻科考队在三亚山区发现并转移疣粒野生稻的全过程，捕捉了科研人员深山寻稻、标本采集、资源保存等关键节点。在表现形式上，作品采用航拍资源圃全景、深山密林科考实景等多维度视角，构建了从野外发现到野生稻标本采集、保存和保护的完整叙事链。</w:t>
            </w:r>
          </w:p>
        </w:tc>
      </w:tr>
      <w:tr w14:paraId="08D2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jc w:val="center"/>
        </w:trPr>
        <w:tc>
          <w:tcPr>
            <w:tcW w:w="792" w:type="dxa"/>
            <w:noWrap w:val="0"/>
            <w:vAlign w:val="center"/>
          </w:tcPr>
          <w:p w14:paraId="6ECA8AF5">
            <w:pPr>
              <w:spacing w:line="32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szCs w:val="24"/>
              </w:rPr>
              <w:t>社</w:t>
            </w:r>
          </w:p>
          <w:p w14:paraId="062BE826">
            <w:pPr>
              <w:spacing w:line="32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szCs w:val="24"/>
              </w:rPr>
              <w:t>会</w:t>
            </w:r>
          </w:p>
          <w:p w14:paraId="30E5A557">
            <w:pPr>
              <w:spacing w:line="320" w:lineRule="exact"/>
              <w:jc w:val="center"/>
              <w:rPr>
                <w:rFonts w:hint="eastAsia" w:ascii="华文中宋" w:hAnsi="华文中宋" w:eastAsia="华文中宋" w:cs="Times New Roman"/>
                <w:color w:val="000000"/>
                <w:sz w:val="28"/>
              </w:rPr>
            </w:pPr>
            <w:r>
              <w:rPr>
                <w:rFonts w:hint="eastAsia" w:ascii="华文中宋" w:hAnsi="华文中宋" w:eastAsia="华文中宋" w:cs="Times New Roman"/>
                <w:color w:val="000000"/>
                <w:sz w:val="28"/>
                <w:szCs w:val="24"/>
              </w:rPr>
              <w:t>效</w:t>
            </w:r>
          </w:p>
          <w:p w14:paraId="43352C08">
            <w:pPr>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s="Times New Roman"/>
                <w:color w:val="000000"/>
                <w:sz w:val="28"/>
                <w:szCs w:val="24"/>
              </w:rPr>
              <w:t>果</w:t>
            </w:r>
          </w:p>
        </w:tc>
        <w:tc>
          <w:tcPr>
            <w:tcW w:w="8898" w:type="dxa"/>
            <w:gridSpan w:val="17"/>
            <w:tcBorders>
              <w:top w:val="single" w:color="auto" w:sz="4" w:space="0"/>
              <w:left w:val="single" w:color="auto" w:sz="4" w:space="0"/>
              <w:right w:val="single" w:color="auto" w:sz="4" w:space="0"/>
            </w:tcBorders>
            <w:noWrap w:val="0"/>
            <w:vAlign w:val="center"/>
          </w:tcPr>
          <w:p w14:paraId="0C1F65E5">
            <w:pPr>
              <w:spacing w:line="360" w:lineRule="exact"/>
              <w:ind w:firstLine="420" w:firstLineChars="200"/>
              <w:rPr>
                <w:rFonts w:hint="eastAsia" w:ascii="仿宋" w:hAnsi="仿宋" w:eastAsia="仿宋" w:cs="仿宋"/>
                <w:color w:val="000000"/>
                <w:sz w:val="21"/>
                <w:szCs w:val="15"/>
              </w:rPr>
            </w:pPr>
            <w:r>
              <w:rPr>
                <w:rFonts w:hint="eastAsia" w:ascii="仿宋" w:hAnsi="仿宋" w:eastAsia="仿宋" w:cs="仿宋"/>
                <w:color w:val="000000"/>
                <w:sz w:val="21"/>
                <w:szCs w:val="15"/>
              </w:rPr>
              <w:t>该作品具有重要社会影响力与科普价值。一方面，通过疣粒野生稻从“杂草”到“珍宝”的身份反转，生动阐释了野生稻的稀缺性与科学价值，提升了公众对生物多样性保护的认知；另一方面，全球最大野生稻资源圃的建设成果呼应了《种业振兴行动方案》，为政策落地提供了可视化范例，强化了社会对粮食安全的关注。</w:t>
            </w:r>
          </w:p>
          <w:p w14:paraId="69E0EAA5">
            <w:pPr>
              <w:spacing w:line="360" w:lineRule="exact"/>
              <w:ind w:firstLine="420" w:firstLineChars="200"/>
              <w:rPr>
                <w:rFonts w:hint="eastAsia" w:ascii="仿宋" w:hAnsi="仿宋" w:eastAsia="仿宋" w:cs="仿宋"/>
                <w:color w:val="000000"/>
                <w:sz w:val="21"/>
                <w:szCs w:val="15"/>
              </w:rPr>
            </w:pPr>
            <w:r>
              <w:rPr>
                <w:rFonts w:hint="eastAsia" w:ascii="仿宋" w:hAnsi="仿宋" w:eastAsia="仿宋" w:cs="仿宋"/>
                <w:color w:val="000000"/>
                <w:sz w:val="21"/>
                <w:szCs w:val="15"/>
              </w:rPr>
              <w:t>作品在海南日报客户端刊发后，被光明日报、澎湃新闻、南方周末、腾讯、新浪等多家主流媒体大量转载，实现了报纸、网络、移动客户端、短视频APP等全平台同步推介，构建了“瀑布式”传播矩阵。这不仅提升了全国范围内对野生稻保护的关注度，还为野生稻的保护和利用提供了有力的舆论支持，取得了良好的宣传效果。</w:t>
            </w:r>
          </w:p>
          <w:p w14:paraId="2CDCE673">
            <w:pPr>
              <w:spacing w:line="360" w:lineRule="exact"/>
              <w:ind w:firstLine="420" w:firstLineChars="200"/>
              <w:rPr>
                <w:rFonts w:hint="eastAsia" w:ascii="仿宋" w:hAnsi="仿宋" w:eastAsia="仿宋"/>
                <w:color w:val="000000"/>
                <w:szCs w:val="21"/>
              </w:rPr>
            </w:pPr>
          </w:p>
        </w:tc>
      </w:tr>
      <w:tr w14:paraId="5745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92" w:type="dxa"/>
            <w:vMerge w:val="restart"/>
            <w:noWrap w:val="0"/>
            <w:vAlign w:val="center"/>
          </w:tcPr>
          <w:p w14:paraId="408869CA">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传</w:t>
            </w:r>
          </w:p>
          <w:p w14:paraId="3187A0ED">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播</w:t>
            </w:r>
          </w:p>
          <w:p w14:paraId="08E6CB4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数</w:t>
            </w:r>
          </w:p>
          <w:p w14:paraId="200A238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据</w:t>
            </w:r>
          </w:p>
        </w:tc>
        <w:tc>
          <w:tcPr>
            <w:tcW w:w="1583" w:type="dxa"/>
            <w:gridSpan w:val="3"/>
            <w:vMerge w:val="restart"/>
            <w:noWrap w:val="0"/>
            <w:vAlign w:val="center"/>
          </w:tcPr>
          <w:p w14:paraId="349E5F6A">
            <w:pPr>
              <w:jc w:val="center"/>
              <w:rPr>
                <w:rFonts w:hint="eastAsia" w:ascii="仿宋" w:hAnsi="仿宋" w:eastAsia="仿宋" w:cs="仿宋"/>
                <w:color w:val="000000"/>
                <w:spacing w:val="-10"/>
                <w:sz w:val="24"/>
                <w:szCs w:val="18"/>
              </w:rPr>
            </w:pPr>
            <w:r>
              <w:rPr>
                <w:rFonts w:hint="eastAsia" w:ascii="仿宋" w:hAnsi="仿宋" w:eastAsia="仿宋" w:cs="仿宋"/>
                <w:color w:val="000000"/>
                <w:spacing w:val="-10"/>
                <w:sz w:val="24"/>
                <w:szCs w:val="18"/>
              </w:rPr>
              <w:t>新媒体传播</w:t>
            </w:r>
          </w:p>
          <w:p w14:paraId="2B8F2556">
            <w:pPr>
              <w:jc w:val="center"/>
              <w:rPr>
                <w:rFonts w:ascii="仿宋" w:hAnsi="仿宋" w:eastAsia="仿宋" w:cs="仿宋"/>
                <w:color w:val="000000"/>
                <w:sz w:val="24"/>
                <w:szCs w:val="18"/>
              </w:rPr>
            </w:pPr>
            <w:r>
              <w:rPr>
                <w:rFonts w:hint="eastAsia" w:ascii="仿宋" w:hAnsi="仿宋" w:eastAsia="仿宋" w:cs="仿宋"/>
                <w:color w:val="000000"/>
                <w:sz w:val="24"/>
                <w:szCs w:val="18"/>
              </w:rPr>
              <w:t>平台网址</w:t>
            </w:r>
          </w:p>
        </w:tc>
        <w:tc>
          <w:tcPr>
            <w:tcW w:w="426" w:type="dxa"/>
            <w:noWrap w:val="0"/>
            <w:vAlign w:val="center"/>
          </w:tcPr>
          <w:p w14:paraId="3F1714FD">
            <w:pPr>
              <w:jc w:val="center"/>
              <w:rPr>
                <w:rFonts w:ascii="仿宋" w:hAnsi="仿宋" w:eastAsia="仿宋" w:cs="仿宋"/>
                <w:color w:val="000000"/>
                <w:sz w:val="24"/>
                <w:szCs w:val="18"/>
              </w:rPr>
            </w:pPr>
            <w:r>
              <w:rPr>
                <w:rFonts w:hint="eastAsia" w:ascii="仿宋" w:hAnsi="仿宋" w:eastAsia="仿宋" w:cs="仿宋"/>
                <w:color w:val="000000"/>
                <w:sz w:val="24"/>
                <w:szCs w:val="18"/>
              </w:rPr>
              <w:t>1</w:t>
            </w:r>
          </w:p>
        </w:tc>
        <w:tc>
          <w:tcPr>
            <w:tcW w:w="6889" w:type="dxa"/>
            <w:gridSpan w:val="13"/>
            <w:noWrap w:val="0"/>
            <w:vAlign w:val="center"/>
          </w:tcPr>
          <w:p w14:paraId="0662266D">
            <w:pPr>
              <w:rPr>
                <w:rFonts w:ascii="仿宋" w:hAnsi="仿宋" w:eastAsia="仿宋" w:cs="仿宋"/>
                <w:color w:val="000000"/>
                <w:sz w:val="24"/>
                <w:szCs w:val="18"/>
              </w:rPr>
            </w:pPr>
            <w:r>
              <w:rPr>
                <w:rFonts w:hint="eastAsia" w:ascii="仿宋" w:hAnsi="仿宋" w:eastAsia="仿宋"/>
                <w:color w:val="000000"/>
                <w:szCs w:val="21"/>
              </w:rPr>
              <w:t>https://res.hndaily.cn/file/news/20240305/cid_14_463068.html</w:t>
            </w:r>
          </w:p>
        </w:tc>
      </w:tr>
      <w:tr w14:paraId="3BAB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92" w:type="dxa"/>
            <w:vMerge w:val="continue"/>
            <w:noWrap w:val="0"/>
            <w:vAlign w:val="center"/>
          </w:tcPr>
          <w:p w14:paraId="3F541265">
            <w:pPr>
              <w:spacing w:line="320" w:lineRule="exact"/>
              <w:jc w:val="center"/>
              <w:rPr>
                <w:rFonts w:hint="eastAsia" w:ascii="华文中宋" w:hAnsi="华文中宋" w:eastAsia="华文中宋"/>
                <w:color w:val="000000"/>
                <w:sz w:val="28"/>
              </w:rPr>
            </w:pPr>
          </w:p>
        </w:tc>
        <w:tc>
          <w:tcPr>
            <w:tcW w:w="1583" w:type="dxa"/>
            <w:gridSpan w:val="3"/>
            <w:vMerge w:val="continue"/>
            <w:noWrap w:val="0"/>
            <w:vAlign w:val="center"/>
          </w:tcPr>
          <w:p w14:paraId="04F5CE0A">
            <w:pPr>
              <w:rPr>
                <w:rFonts w:ascii="仿宋" w:hAnsi="仿宋" w:eastAsia="仿宋" w:cs="仿宋"/>
                <w:color w:val="000000"/>
                <w:sz w:val="24"/>
                <w:szCs w:val="18"/>
              </w:rPr>
            </w:pPr>
          </w:p>
        </w:tc>
        <w:tc>
          <w:tcPr>
            <w:tcW w:w="426" w:type="dxa"/>
            <w:noWrap w:val="0"/>
            <w:vAlign w:val="center"/>
          </w:tcPr>
          <w:p w14:paraId="22279EE0">
            <w:pPr>
              <w:jc w:val="center"/>
              <w:rPr>
                <w:rFonts w:ascii="仿宋" w:hAnsi="仿宋" w:eastAsia="仿宋" w:cs="仿宋"/>
                <w:color w:val="000000"/>
                <w:sz w:val="24"/>
                <w:szCs w:val="18"/>
              </w:rPr>
            </w:pPr>
            <w:r>
              <w:rPr>
                <w:rFonts w:hint="eastAsia" w:ascii="仿宋" w:hAnsi="仿宋" w:eastAsia="仿宋" w:cs="仿宋"/>
                <w:color w:val="000000"/>
                <w:sz w:val="24"/>
                <w:szCs w:val="18"/>
              </w:rPr>
              <w:t>2</w:t>
            </w:r>
          </w:p>
        </w:tc>
        <w:tc>
          <w:tcPr>
            <w:tcW w:w="6889" w:type="dxa"/>
            <w:gridSpan w:val="13"/>
            <w:noWrap w:val="0"/>
            <w:vAlign w:val="center"/>
          </w:tcPr>
          <w:p w14:paraId="60CC2BEE">
            <w:pPr>
              <w:rPr>
                <w:rFonts w:ascii="仿宋" w:hAnsi="仿宋" w:eastAsia="仿宋" w:cs="仿宋"/>
                <w:color w:val="000000"/>
                <w:sz w:val="24"/>
                <w:szCs w:val="18"/>
              </w:rPr>
            </w:pPr>
            <w:r>
              <w:rPr>
                <w:rFonts w:hint="eastAsia" w:ascii="仿宋" w:hAnsi="仿宋" w:eastAsia="仿宋"/>
                <w:color w:val="000000"/>
                <w:szCs w:val="21"/>
                <w:lang w:val="en-US" w:eastAsia="zh-CN"/>
              </w:rPr>
              <w:t>https://app.gmdaily.cn/as/opened/n/496d4195ea5f412ba30544032d14f6cb</w:t>
            </w:r>
          </w:p>
        </w:tc>
      </w:tr>
      <w:tr w14:paraId="2004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92" w:type="dxa"/>
            <w:vMerge w:val="continue"/>
            <w:noWrap w:val="0"/>
            <w:vAlign w:val="center"/>
          </w:tcPr>
          <w:p w14:paraId="324EFF7E">
            <w:pPr>
              <w:spacing w:line="320" w:lineRule="exact"/>
              <w:jc w:val="center"/>
              <w:rPr>
                <w:rFonts w:hint="eastAsia" w:ascii="华文中宋" w:hAnsi="华文中宋" w:eastAsia="华文中宋"/>
                <w:color w:val="000000"/>
                <w:sz w:val="28"/>
              </w:rPr>
            </w:pPr>
          </w:p>
        </w:tc>
        <w:tc>
          <w:tcPr>
            <w:tcW w:w="1583" w:type="dxa"/>
            <w:gridSpan w:val="3"/>
            <w:vMerge w:val="continue"/>
            <w:noWrap w:val="0"/>
            <w:vAlign w:val="center"/>
          </w:tcPr>
          <w:p w14:paraId="6E62E95D">
            <w:pPr>
              <w:rPr>
                <w:rFonts w:ascii="仿宋" w:hAnsi="仿宋" w:eastAsia="仿宋" w:cs="仿宋"/>
                <w:color w:val="000000"/>
                <w:sz w:val="24"/>
                <w:szCs w:val="18"/>
              </w:rPr>
            </w:pPr>
          </w:p>
        </w:tc>
        <w:tc>
          <w:tcPr>
            <w:tcW w:w="426" w:type="dxa"/>
            <w:noWrap w:val="0"/>
            <w:vAlign w:val="center"/>
          </w:tcPr>
          <w:p w14:paraId="7EFDDC04">
            <w:pPr>
              <w:jc w:val="center"/>
              <w:rPr>
                <w:rFonts w:ascii="仿宋" w:hAnsi="仿宋" w:eastAsia="仿宋" w:cs="仿宋"/>
                <w:color w:val="000000"/>
                <w:sz w:val="24"/>
                <w:szCs w:val="18"/>
              </w:rPr>
            </w:pPr>
            <w:r>
              <w:rPr>
                <w:rFonts w:hint="eastAsia" w:ascii="仿宋" w:hAnsi="仿宋" w:eastAsia="仿宋" w:cs="仿宋"/>
                <w:color w:val="000000"/>
                <w:sz w:val="24"/>
                <w:szCs w:val="18"/>
              </w:rPr>
              <w:t>3</w:t>
            </w:r>
          </w:p>
        </w:tc>
        <w:tc>
          <w:tcPr>
            <w:tcW w:w="6889" w:type="dxa"/>
            <w:gridSpan w:val="13"/>
            <w:noWrap w:val="0"/>
            <w:vAlign w:val="center"/>
          </w:tcPr>
          <w:p w14:paraId="6045F2C5">
            <w:pPr>
              <w:rPr>
                <w:rFonts w:ascii="仿宋" w:hAnsi="仿宋" w:eastAsia="仿宋" w:cs="仿宋"/>
                <w:color w:val="000000"/>
                <w:sz w:val="24"/>
                <w:szCs w:val="18"/>
              </w:rPr>
            </w:pPr>
            <w:r>
              <w:rPr>
                <w:rFonts w:hint="eastAsia" w:ascii="仿宋" w:hAnsi="仿宋" w:eastAsia="仿宋" w:cs="仿宋"/>
                <w:color w:val="000000"/>
                <w:sz w:val="24"/>
                <w:szCs w:val="18"/>
              </w:rPr>
              <w:t>https://www.infzm.com/contents/267721</w:t>
            </w:r>
          </w:p>
        </w:tc>
      </w:tr>
      <w:tr w14:paraId="362A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92" w:type="dxa"/>
            <w:vMerge w:val="continue"/>
            <w:noWrap w:val="0"/>
            <w:vAlign w:val="center"/>
          </w:tcPr>
          <w:p w14:paraId="41E6E82F">
            <w:pPr>
              <w:spacing w:line="320" w:lineRule="exact"/>
              <w:jc w:val="center"/>
              <w:rPr>
                <w:rFonts w:hint="eastAsia" w:ascii="华文中宋" w:hAnsi="华文中宋" w:eastAsia="华文中宋"/>
                <w:color w:val="000000"/>
                <w:sz w:val="28"/>
              </w:rPr>
            </w:pPr>
          </w:p>
        </w:tc>
        <w:tc>
          <w:tcPr>
            <w:tcW w:w="1583" w:type="dxa"/>
            <w:gridSpan w:val="3"/>
            <w:noWrap w:val="0"/>
            <w:vAlign w:val="center"/>
          </w:tcPr>
          <w:p w14:paraId="57F5BCF8">
            <w:pPr>
              <w:spacing w:line="240" w:lineRule="exact"/>
              <w:rPr>
                <w:rFonts w:ascii="仿宋" w:hAnsi="仿宋" w:eastAsia="仿宋" w:cs="仿宋"/>
                <w:color w:val="000000"/>
                <w:sz w:val="24"/>
                <w:szCs w:val="18"/>
              </w:rPr>
            </w:pPr>
            <w:r>
              <w:rPr>
                <w:rFonts w:hint="eastAsia" w:ascii="仿宋" w:hAnsi="仿宋" w:eastAsia="仿宋" w:cs="仿宋"/>
                <w:color w:val="000000"/>
                <w:sz w:val="21"/>
                <w:szCs w:val="21"/>
              </w:rPr>
              <w:t>阅读量（浏览量、点击量）</w:t>
            </w:r>
          </w:p>
        </w:tc>
        <w:tc>
          <w:tcPr>
            <w:tcW w:w="2268" w:type="dxa"/>
            <w:gridSpan w:val="5"/>
            <w:noWrap w:val="0"/>
            <w:vAlign w:val="center"/>
          </w:tcPr>
          <w:p w14:paraId="1D28FA3A">
            <w:pPr>
              <w:spacing w:line="240" w:lineRule="exact"/>
              <w:jc w:val="center"/>
              <w:rPr>
                <w:rFonts w:hint="default" w:ascii="仿宋" w:hAnsi="仿宋" w:eastAsia="仿宋" w:cs="仿宋"/>
                <w:color w:val="000000"/>
                <w:sz w:val="24"/>
                <w:szCs w:val="18"/>
                <w:lang w:val="en-US" w:eastAsia="zh-CN"/>
              </w:rPr>
            </w:pPr>
            <w:r>
              <w:rPr>
                <w:rFonts w:hint="eastAsia" w:ascii="仿宋" w:hAnsi="仿宋" w:eastAsia="仿宋" w:cs="仿宋"/>
                <w:color w:val="000000"/>
                <w:sz w:val="21"/>
                <w:szCs w:val="15"/>
                <w:lang w:val="en-US" w:eastAsia="zh-CN"/>
              </w:rPr>
              <w:t>首发和纸媒、新媒体总阅读量10万+</w:t>
            </w:r>
          </w:p>
        </w:tc>
        <w:tc>
          <w:tcPr>
            <w:tcW w:w="893" w:type="dxa"/>
            <w:gridSpan w:val="2"/>
            <w:noWrap w:val="0"/>
            <w:vAlign w:val="center"/>
          </w:tcPr>
          <w:p w14:paraId="1C41C0DD">
            <w:pPr>
              <w:spacing w:line="240" w:lineRule="exact"/>
              <w:rPr>
                <w:rFonts w:ascii="仿宋" w:hAnsi="仿宋" w:eastAsia="仿宋" w:cs="仿宋"/>
                <w:color w:val="000000"/>
                <w:sz w:val="24"/>
                <w:szCs w:val="18"/>
              </w:rPr>
            </w:pPr>
            <w:r>
              <w:rPr>
                <w:rFonts w:hint="eastAsia" w:ascii="仿宋" w:hAnsi="仿宋" w:eastAsia="仿宋" w:cs="仿宋"/>
                <w:color w:val="000000"/>
                <w:sz w:val="22"/>
                <w:szCs w:val="16"/>
              </w:rPr>
              <w:t>转载量</w:t>
            </w:r>
          </w:p>
        </w:tc>
        <w:tc>
          <w:tcPr>
            <w:tcW w:w="1793" w:type="dxa"/>
            <w:gridSpan w:val="3"/>
            <w:noWrap w:val="0"/>
            <w:vAlign w:val="center"/>
          </w:tcPr>
          <w:p w14:paraId="20E1A308">
            <w:pPr>
              <w:spacing w:line="240" w:lineRule="exact"/>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 xml:space="preserve"> </w:t>
            </w:r>
          </w:p>
        </w:tc>
        <w:tc>
          <w:tcPr>
            <w:tcW w:w="938" w:type="dxa"/>
            <w:gridSpan w:val="2"/>
            <w:noWrap w:val="0"/>
            <w:vAlign w:val="center"/>
          </w:tcPr>
          <w:p w14:paraId="342C8C5B">
            <w:pPr>
              <w:spacing w:line="240" w:lineRule="exact"/>
              <w:rPr>
                <w:rFonts w:ascii="仿宋" w:hAnsi="仿宋" w:eastAsia="仿宋" w:cs="仿宋"/>
                <w:color w:val="000000"/>
                <w:sz w:val="24"/>
                <w:szCs w:val="18"/>
              </w:rPr>
            </w:pPr>
            <w:r>
              <w:rPr>
                <w:rFonts w:hint="eastAsia" w:ascii="仿宋" w:hAnsi="仿宋" w:eastAsia="仿宋" w:cs="仿宋"/>
                <w:color w:val="000000"/>
                <w:sz w:val="22"/>
                <w:szCs w:val="16"/>
              </w:rPr>
              <w:t>互动量</w:t>
            </w:r>
          </w:p>
        </w:tc>
        <w:tc>
          <w:tcPr>
            <w:tcW w:w="1423" w:type="dxa"/>
            <w:gridSpan w:val="2"/>
            <w:noWrap w:val="0"/>
            <w:vAlign w:val="center"/>
          </w:tcPr>
          <w:p w14:paraId="27EC9C03">
            <w:pPr>
              <w:spacing w:line="240" w:lineRule="exact"/>
              <w:rPr>
                <w:rFonts w:hint="eastAsia" w:ascii="仿宋" w:hAnsi="仿宋" w:eastAsia="仿宋" w:cs="仿宋"/>
                <w:color w:val="000000"/>
                <w:sz w:val="24"/>
                <w:szCs w:val="18"/>
                <w:lang w:val="en-US" w:eastAsia="zh-CN"/>
              </w:rPr>
            </w:pPr>
          </w:p>
        </w:tc>
      </w:tr>
      <w:tr w14:paraId="7E12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2" w:type="dxa"/>
            <w:noWrap w:val="0"/>
            <w:vAlign w:val="center"/>
          </w:tcPr>
          <w:p w14:paraId="309D560E">
            <w:pPr>
              <w:widowControl w:val="0"/>
              <w:spacing w:line="380" w:lineRule="exact"/>
              <w:jc w:val="center"/>
              <w:rPr>
                <w:rFonts w:ascii="华文中宋" w:hAnsi="华文中宋" w:eastAsia="华文中宋"/>
                <w:sz w:val="28"/>
              </w:rPr>
            </w:pPr>
            <w:r>
              <w:rPr>
                <w:rFonts w:hint="eastAsia" w:ascii="华文中宋" w:hAnsi="华文中宋" w:eastAsia="华文中宋"/>
                <w:sz w:val="28"/>
              </w:rPr>
              <w:t xml:space="preserve">  ︵</w:t>
            </w:r>
          </w:p>
          <w:p w14:paraId="42237287">
            <w:pPr>
              <w:widowControl w:val="0"/>
              <w:spacing w:line="380" w:lineRule="exact"/>
              <w:jc w:val="center"/>
              <w:rPr>
                <w:rFonts w:hint="eastAsia" w:ascii="华文中宋" w:hAnsi="华文中宋" w:eastAsia="华文中宋"/>
                <w:sz w:val="28"/>
              </w:rPr>
            </w:pPr>
            <w:r>
              <w:rPr>
                <w:rFonts w:hint="eastAsia" w:ascii="华文中宋" w:hAnsi="华文中宋" w:eastAsia="华文中宋"/>
                <w:sz w:val="28"/>
              </w:rPr>
              <w:t>初推</w:t>
            </w:r>
          </w:p>
          <w:p w14:paraId="64028478">
            <w:pPr>
              <w:widowControl w:val="0"/>
              <w:spacing w:line="380" w:lineRule="exact"/>
              <w:jc w:val="center"/>
              <w:rPr>
                <w:rFonts w:hint="eastAsia" w:ascii="华文中宋" w:hAnsi="华文中宋" w:eastAsia="华文中宋"/>
                <w:sz w:val="28"/>
              </w:rPr>
            </w:pPr>
            <w:r>
              <w:rPr>
                <w:rFonts w:hint="eastAsia" w:ascii="华文中宋" w:hAnsi="华文中宋" w:eastAsia="华文中宋"/>
                <w:sz w:val="28"/>
              </w:rPr>
              <w:t>评荐</w:t>
            </w:r>
          </w:p>
          <w:p w14:paraId="145D99D2">
            <w:pPr>
              <w:widowControl w:val="0"/>
              <w:spacing w:line="380" w:lineRule="exact"/>
              <w:jc w:val="center"/>
              <w:rPr>
                <w:rFonts w:hint="eastAsia" w:ascii="华文中宋" w:hAnsi="华文中宋" w:eastAsia="华文中宋"/>
                <w:sz w:val="28"/>
              </w:rPr>
            </w:pPr>
            <w:r>
              <w:rPr>
                <w:rFonts w:hint="eastAsia" w:ascii="华文中宋" w:hAnsi="华文中宋" w:eastAsia="华文中宋"/>
                <w:sz w:val="28"/>
              </w:rPr>
              <w:t>评理</w:t>
            </w:r>
          </w:p>
          <w:p w14:paraId="2C392B0A">
            <w:pPr>
              <w:widowControl w:val="0"/>
              <w:spacing w:line="380" w:lineRule="exact"/>
              <w:jc w:val="center"/>
              <w:rPr>
                <w:rFonts w:hint="eastAsia" w:ascii="华文中宋" w:hAnsi="华文中宋" w:eastAsia="华文中宋"/>
                <w:sz w:val="28"/>
              </w:rPr>
            </w:pPr>
            <w:r>
              <w:rPr>
                <w:rFonts w:hint="eastAsia" w:ascii="华文中宋" w:hAnsi="华文中宋" w:eastAsia="华文中宋"/>
                <w:sz w:val="28"/>
              </w:rPr>
              <w:t>语由</w:t>
            </w:r>
          </w:p>
          <w:p w14:paraId="423D41F8">
            <w:pPr>
              <w:spacing w:line="360" w:lineRule="exact"/>
              <w:jc w:val="center"/>
              <w:rPr>
                <w:rFonts w:hint="eastAsia" w:ascii="华文中宋" w:hAnsi="华文中宋" w:eastAsia="华文中宋"/>
                <w:color w:val="000000"/>
                <w:sz w:val="28"/>
                <w:szCs w:val="28"/>
              </w:rPr>
            </w:pPr>
            <w:r>
              <w:rPr>
                <w:rFonts w:hint="eastAsia" w:ascii="华文中宋" w:hAnsi="华文中宋" w:eastAsia="华文中宋"/>
                <w:sz w:val="28"/>
              </w:rPr>
              <w:t xml:space="preserve">  ︶</w:t>
            </w:r>
          </w:p>
        </w:tc>
        <w:tc>
          <w:tcPr>
            <w:tcW w:w="8898" w:type="dxa"/>
            <w:gridSpan w:val="17"/>
            <w:tcBorders>
              <w:top w:val="single" w:color="auto" w:sz="4" w:space="0"/>
              <w:left w:val="single" w:color="auto" w:sz="4" w:space="0"/>
              <w:right w:val="single" w:color="auto" w:sz="4" w:space="0"/>
            </w:tcBorders>
            <w:noWrap w:val="0"/>
            <w:vAlign w:val="center"/>
          </w:tcPr>
          <w:p w14:paraId="38A77C19">
            <w:pPr>
              <w:widowControl w:val="0"/>
              <w:ind w:firstLine="0"/>
              <w:jc w:val="both"/>
              <w:rPr>
                <w:rFonts w:hint="eastAsia" w:ascii="仿宋" w:hAnsi="仿宋" w:eastAsia="仿宋"/>
                <w:szCs w:val="21"/>
              </w:rPr>
            </w:pPr>
          </w:p>
          <w:p w14:paraId="7E5A0EEE">
            <w:pPr>
              <w:spacing w:line="360" w:lineRule="exact"/>
              <w:ind w:firstLine="420" w:firstLineChars="200"/>
              <w:jc w:val="left"/>
              <w:rPr>
                <w:rFonts w:ascii="华文中宋" w:hAnsi="华文中宋" w:eastAsia="华文中宋"/>
                <w:color w:val="000000"/>
                <w:spacing w:val="-2"/>
                <w:sz w:val="21"/>
                <w:szCs w:val="21"/>
              </w:rPr>
            </w:pPr>
            <w:r>
              <w:rPr>
                <w:rFonts w:hint="eastAsia" w:ascii="仿宋" w:hAnsi="仿宋" w:eastAsia="仿宋"/>
                <w:sz w:val="21"/>
                <w:szCs w:val="21"/>
              </w:rPr>
              <w:t xml:space="preserve">作品《全球野生稻有了新家》呼应了我国“种业振兴”战略与全球生物多样性保护需求，作者以卓越的新闻敏感度、专业的影像语言和深刻的社会关怀，将科学探索、生态保护与国家战略有机结合。其画面兼具美学价值与科学严谨性，不仅为公众提供了理解种业振兴的窗口，也为全球生物多样性保护贡献了中国故事的视觉样本。该作品符合新闻奖对“重大主题报道”“影像创新”及“社会影响力”的多维度评选标准，推荐参评。  </w:t>
            </w:r>
          </w:p>
          <w:p w14:paraId="0B3B68DF">
            <w:pPr>
              <w:spacing w:line="360" w:lineRule="exact"/>
              <w:ind w:firstLine="4968" w:firstLineChars="1800"/>
              <w:jc w:val="left"/>
              <w:rPr>
                <w:rFonts w:hint="eastAsia" w:ascii="华文中宋" w:hAnsi="华文中宋" w:eastAsia="华文中宋"/>
                <w:color w:val="000000"/>
                <w:sz w:val="28"/>
                <w:szCs w:val="20"/>
              </w:rPr>
            </w:pPr>
            <w:r>
              <w:rPr>
                <w:rFonts w:hint="eastAsia" w:ascii="华文中宋" w:hAnsi="华文中宋" w:eastAsia="华文中宋"/>
                <w:color w:val="000000"/>
                <w:spacing w:val="-2"/>
                <w:sz w:val="28"/>
                <w:szCs w:val="20"/>
              </w:rPr>
              <w:t>签名：</w:t>
            </w:r>
          </w:p>
          <w:p w14:paraId="736E0517">
            <w:pPr>
              <w:spacing w:line="360" w:lineRule="exact"/>
              <w:ind w:firstLine="5460" w:firstLineChars="1950"/>
              <w:jc w:val="left"/>
              <w:rPr>
                <w:rFonts w:hint="eastAsia" w:ascii="华文中宋" w:hAnsi="华文中宋" w:eastAsia="华文中宋"/>
                <w:color w:val="000000"/>
                <w:sz w:val="28"/>
                <w:szCs w:val="20"/>
              </w:rPr>
            </w:pPr>
            <w:r>
              <w:rPr>
                <w:rFonts w:hint="eastAsia" w:ascii="华文中宋" w:hAnsi="华文中宋" w:eastAsia="华文中宋"/>
                <w:color w:val="000000"/>
                <w:sz w:val="28"/>
                <w:szCs w:val="20"/>
              </w:rPr>
              <w:t>（盖单位公章）</w:t>
            </w:r>
          </w:p>
          <w:p w14:paraId="72DA2609">
            <w:pPr>
              <w:widowControl/>
              <w:jc w:val="left"/>
              <w:rPr>
                <w:rFonts w:hint="eastAsia" w:ascii="华文中宋" w:hAnsi="华文中宋" w:eastAsia="华文中宋"/>
                <w:color w:val="000000"/>
                <w:sz w:val="28"/>
                <w:szCs w:val="28"/>
              </w:rPr>
            </w:pPr>
            <w:r>
              <w:rPr>
                <w:rFonts w:hint="eastAsia"/>
                <w:color w:val="000000"/>
              </w:rPr>
              <w:t xml:space="preserve">                                                  </w:t>
            </w:r>
            <w:r>
              <w:rPr>
                <w:rFonts w:hint="eastAsia" w:ascii="华文中宋" w:hAnsi="华文中宋" w:eastAsia="华文中宋"/>
                <w:color w:val="000000"/>
                <w:sz w:val="28"/>
                <w:szCs w:val="28"/>
              </w:rPr>
              <w:t>2025年</w:t>
            </w:r>
            <w:r>
              <w:rPr>
                <w:rFonts w:hint="eastAsia" w:ascii="华文中宋" w:hAnsi="华文中宋" w:eastAsia="华文中宋"/>
                <w:color w:val="000000"/>
                <w:sz w:val="28"/>
                <w:szCs w:val="28"/>
                <w:lang w:val="en-US" w:eastAsia="zh-CN"/>
              </w:rPr>
              <w:t xml:space="preserve">  </w:t>
            </w:r>
            <w:r>
              <w:rPr>
                <w:rFonts w:hint="eastAsia" w:ascii="华文中宋" w:hAnsi="华文中宋" w:eastAsia="华文中宋"/>
                <w:color w:val="000000"/>
                <w:sz w:val="28"/>
                <w:szCs w:val="28"/>
              </w:rPr>
              <w:t>月</w:t>
            </w:r>
            <w:r>
              <w:rPr>
                <w:rFonts w:hint="eastAsia" w:ascii="华文中宋" w:hAnsi="华文中宋" w:eastAsia="华文中宋"/>
                <w:color w:val="000000"/>
                <w:sz w:val="28"/>
                <w:szCs w:val="28"/>
                <w:lang w:val="en-US" w:eastAsia="zh-CN"/>
              </w:rPr>
              <w:t xml:space="preserve">  </w:t>
            </w:r>
            <w:r>
              <w:rPr>
                <w:rFonts w:hint="eastAsia" w:ascii="华文中宋" w:hAnsi="华文中宋" w:eastAsia="华文中宋"/>
                <w:color w:val="000000"/>
                <w:sz w:val="28"/>
                <w:szCs w:val="28"/>
              </w:rPr>
              <w:t>日</w:t>
            </w:r>
          </w:p>
        </w:tc>
      </w:tr>
      <w:tr w14:paraId="74581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1902" w:type="dxa"/>
            <w:gridSpan w:val="3"/>
            <w:tcBorders>
              <w:top w:val="single" w:color="auto" w:sz="4" w:space="0"/>
              <w:left w:val="single" w:color="auto" w:sz="4" w:space="0"/>
              <w:bottom w:val="single" w:color="auto" w:sz="4" w:space="0"/>
              <w:right w:val="single" w:color="auto" w:sz="4" w:space="0"/>
            </w:tcBorders>
            <w:noWrap w:val="0"/>
            <w:vAlign w:val="center"/>
          </w:tcPr>
          <w:p w14:paraId="705A2AEB">
            <w:pPr>
              <w:spacing w:line="36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联系人（作者）</w:t>
            </w:r>
          </w:p>
        </w:tc>
        <w:tc>
          <w:tcPr>
            <w:tcW w:w="1840" w:type="dxa"/>
            <w:gridSpan w:val="4"/>
            <w:tcBorders>
              <w:top w:val="single" w:color="auto" w:sz="4" w:space="0"/>
              <w:left w:val="single" w:color="auto" w:sz="4" w:space="0"/>
              <w:bottom w:val="single" w:color="auto" w:sz="4" w:space="0"/>
              <w:right w:val="single" w:color="auto" w:sz="4" w:space="0"/>
            </w:tcBorders>
            <w:noWrap w:val="0"/>
            <w:vAlign w:val="center"/>
          </w:tcPr>
          <w:p w14:paraId="16050C2B">
            <w:pPr>
              <w:spacing w:line="360" w:lineRule="exact"/>
              <w:jc w:val="center"/>
              <w:rPr>
                <w:rFonts w:hint="eastAsia" w:ascii="华文中宋" w:hAnsi="华文中宋" w:eastAsia="华文中宋"/>
                <w:color w:val="000000"/>
                <w:sz w:val="28"/>
                <w:szCs w:val="28"/>
                <w:lang w:eastAsia="zh-CN"/>
              </w:rPr>
            </w:pPr>
            <w:r>
              <w:rPr>
                <w:rFonts w:hint="eastAsia" w:ascii="仿宋" w:hAnsi="仿宋" w:eastAsia="仿宋" w:cs="仿宋"/>
                <w:color w:val="000000"/>
                <w:sz w:val="21"/>
                <w:szCs w:val="21"/>
                <w:lang w:eastAsia="zh-CN"/>
              </w:rPr>
              <w:t>张茂</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F518607">
            <w:pPr>
              <w:spacing w:line="36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手机</w:t>
            </w:r>
          </w:p>
        </w:tc>
        <w:tc>
          <w:tcPr>
            <w:tcW w:w="2128" w:type="dxa"/>
            <w:gridSpan w:val="4"/>
            <w:tcBorders>
              <w:top w:val="single" w:color="auto" w:sz="4" w:space="0"/>
              <w:left w:val="single" w:color="auto" w:sz="4" w:space="0"/>
              <w:bottom w:val="single" w:color="auto" w:sz="4" w:space="0"/>
              <w:right w:val="single" w:color="auto" w:sz="4" w:space="0"/>
            </w:tcBorders>
            <w:noWrap w:val="0"/>
            <w:vAlign w:val="center"/>
          </w:tcPr>
          <w:p w14:paraId="2E2E017A">
            <w:pPr>
              <w:spacing w:line="360" w:lineRule="exact"/>
              <w:jc w:val="center"/>
              <w:rPr>
                <w:rFonts w:hint="default" w:ascii="华文中宋" w:hAnsi="华文中宋" w:eastAsia="华文中宋"/>
                <w:color w:val="000000"/>
                <w:sz w:val="28"/>
                <w:szCs w:val="28"/>
                <w:lang w:val="en-US" w:eastAsia="zh-CN"/>
              </w:rPr>
            </w:pPr>
            <w:r>
              <w:rPr>
                <w:rFonts w:hint="eastAsia" w:ascii="仿宋" w:hAnsi="仿宋" w:eastAsia="仿宋" w:cs="仿宋"/>
                <w:color w:val="000000"/>
                <w:sz w:val="21"/>
                <w:szCs w:val="21"/>
                <w:lang w:val="en-US" w:eastAsia="zh-CN"/>
              </w:rPr>
              <w:t>18976556160</w:t>
            </w:r>
          </w:p>
        </w:tc>
        <w:tc>
          <w:tcPr>
            <w:tcW w:w="849" w:type="dxa"/>
            <w:gridSpan w:val="3"/>
            <w:tcBorders>
              <w:top w:val="single" w:color="auto" w:sz="4" w:space="0"/>
              <w:left w:val="single" w:color="auto" w:sz="4" w:space="0"/>
              <w:bottom w:val="single" w:color="auto" w:sz="4" w:space="0"/>
              <w:right w:val="single" w:color="auto" w:sz="4" w:space="0"/>
            </w:tcBorders>
            <w:noWrap w:val="0"/>
            <w:vAlign w:val="center"/>
          </w:tcPr>
          <w:p w14:paraId="1D430E80">
            <w:pPr>
              <w:spacing w:line="36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电话</w:t>
            </w:r>
          </w:p>
        </w:tc>
        <w:tc>
          <w:tcPr>
            <w:tcW w:w="2120" w:type="dxa"/>
            <w:gridSpan w:val="3"/>
            <w:tcBorders>
              <w:top w:val="single" w:color="auto" w:sz="4" w:space="0"/>
              <w:left w:val="single" w:color="auto" w:sz="4" w:space="0"/>
              <w:bottom w:val="single" w:color="auto" w:sz="4" w:space="0"/>
              <w:right w:val="single" w:color="auto" w:sz="4" w:space="0"/>
            </w:tcBorders>
            <w:noWrap w:val="0"/>
            <w:vAlign w:val="center"/>
          </w:tcPr>
          <w:p w14:paraId="48E792BA">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0898-66810614</w:t>
            </w:r>
          </w:p>
        </w:tc>
      </w:tr>
      <w:tr w14:paraId="2E93B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618" w:type="dxa"/>
            <w:gridSpan w:val="2"/>
            <w:tcBorders>
              <w:top w:val="single" w:color="auto" w:sz="4" w:space="0"/>
              <w:left w:val="single" w:color="auto" w:sz="4" w:space="0"/>
              <w:bottom w:val="single" w:color="auto" w:sz="4" w:space="0"/>
              <w:right w:val="single" w:color="auto" w:sz="4" w:space="0"/>
            </w:tcBorders>
            <w:noWrap w:val="0"/>
            <w:vAlign w:val="center"/>
          </w:tcPr>
          <w:p w14:paraId="75F5D87E">
            <w:pPr>
              <w:spacing w:line="36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电子邮箱</w:t>
            </w:r>
          </w:p>
        </w:tc>
        <w:tc>
          <w:tcPr>
            <w:tcW w:w="5103" w:type="dxa"/>
            <w:gridSpan w:val="10"/>
            <w:tcBorders>
              <w:top w:val="single" w:color="auto" w:sz="4" w:space="0"/>
              <w:left w:val="single" w:color="auto" w:sz="4" w:space="0"/>
              <w:bottom w:val="single" w:color="auto" w:sz="4" w:space="0"/>
              <w:right w:val="single" w:color="auto" w:sz="4" w:space="0"/>
            </w:tcBorders>
            <w:noWrap w:val="0"/>
            <w:vAlign w:val="center"/>
          </w:tcPr>
          <w:p w14:paraId="1E01EF9B">
            <w:pPr>
              <w:spacing w:line="360" w:lineRule="exact"/>
              <w:jc w:val="center"/>
              <w:rPr>
                <w:rFonts w:hint="eastAsia" w:ascii="华文中宋" w:hAnsi="华文中宋" w:eastAsia="华文中宋"/>
                <w:color w:val="000000"/>
                <w:sz w:val="28"/>
                <w:szCs w:val="28"/>
              </w:rPr>
            </w:pPr>
            <w:r>
              <w:rPr>
                <w:rFonts w:hint="eastAsia" w:ascii="仿宋" w:hAnsi="仿宋" w:eastAsia="仿宋" w:cs="仿宋"/>
                <w:color w:val="000000"/>
                <w:sz w:val="21"/>
                <w:szCs w:val="21"/>
              </w:rPr>
              <w:t>648082521@qq.com</w:t>
            </w:r>
          </w:p>
        </w:tc>
        <w:tc>
          <w:tcPr>
            <w:tcW w:w="849" w:type="dxa"/>
            <w:gridSpan w:val="3"/>
            <w:tcBorders>
              <w:top w:val="single" w:color="auto" w:sz="4" w:space="0"/>
              <w:left w:val="single" w:color="auto" w:sz="4" w:space="0"/>
              <w:bottom w:val="single" w:color="auto" w:sz="4" w:space="0"/>
              <w:right w:val="single" w:color="auto" w:sz="4" w:space="0"/>
            </w:tcBorders>
            <w:noWrap w:val="0"/>
            <w:vAlign w:val="center"/>
          </w:tcPr>
          <w:p w14:paraId="0BA37EFE">
            <w:pPr>
              <w:spacing w:line="36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邮编</w:t>
            </w:r>
          </w:p>
        </w:tc>
        <w:tc>
          <w:tcPr>
            <w:tcW w:w="2120" w:type="dxa"/>
            <w:gridSpan w:val="3"/>
            <w:tcBorders>
              <w:top w:val="single" w:color="auto" w:sz="4" w:space="0"/>
              <w:left w:val="single" w:color="auto" w:sz="4" w:space="0"/>
              <w:bottom w:val="single" w:color="auto" w:sz="4" w:space="0"/>
              <w:right w:val="single" w:color="auto" w:sz="4" w:space="0"/>
            </w:tcBorders>
            <w:noWrap w:val="0"/>
            <w:vAlign w:val="center"/>
          </w:tcPr>
          <w:p w14:paraId="40BC56A8">
            <w:pPr>
              <w:spacing w:line="3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570000</w:t>
            </w:r>
          </w:p>
        </w:tc>
      </w:tr>
      <w:tr w14:paraId="7C0F4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3" w:hRule="atLeast"/>
          <w:jc w:val="center"/>
        </w:trPr>
        <w:tc>
          <w:tcPr>
            <w:tcW w:w="1618" w:type="dxa"/>
            <w:gridSpan w:val="2"/>
            <w:tcBorders>
              <w:top w:val="single" w:color="auto" w:sz="4" w:space="0"/>
              <w:left w:val="single" w:color="auto" w:sz="4" w:space="0"/>
              <w:bottom w:val="single" w:color="auto" w:sz="4" w:space="0"/>
              <w:right w:val="single" w:color="auto" w:sz="4" w:space="0"/>
            </w:tcBorders>
            <w:noWrap w:val="0"/>
            <w:vAlign w:val="center"/>
          </w:tcPr>
          <w:p w14:paraId="6F1C7F6C">
            <w:pPr>
              <w:spacing w:line="36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地址</w:t>
            </w:r>
          </w:p>
        </w:tc>
        <w:tc>
          <w:tcPr>
            <w:tcW w:w="8072" w:type="dxa"/>
            <w:gridSpan w:val="16"/>
            <w:tcBorders>
              <w:top w:val="single" w:color="auto" w:sz="4" w:space="0"/>
              <w:left w:val="single" w:color="auto" w:sz="4" w:space="0"/>
              <w:bottom w:val="single" w:color="auto" w:sz="4" w:space="0"/>
              <w:right w:val="single" w:color="auto" w:sz="4" w:space="0"/>
            </w:tcBorders>
            <w:noWrap w:val="0"/>
            <w:vAlign w:val="center"/>
          </w:tcPr>
          <w:p w14:paraId="44D7CA18">
            <w:pPr>
              <w:spacing w:line="360" w:lineRule="exact"/>
              <w:jc w:val="center"/>
              <w:rPr>
                <w:rFonts w:hint="eastAsia" w:ascii="华文中宋" w:hAnsi="华文中宋" w:eastAsia="华文中宋"/>
                <w:color w:val="000000"/>
                <w:sz w:val="28"/>
                <w:szCs w:val="28"/>
                <w:lang w:eastAsia="zh-CN"/>
              </w:rPr>
            </w:pPr>
            <w:r>
              <w:rPr>
                <w:rFonts w:hint="eastAsia" w:ascii="仿宋" w:hAnsi="仿宋" w:eastAsia="仿宋" w:cs="仿宋"/>
                <w:color w:val="000000"/>
                <w:sz w:val="22"/>
                <w:szCs w:val="22"/>
                <w:lang w:eastAsia="zh-CN"/>
              </w:rPr>
              <w:t>海南省海口市琼山区首丹雅苑张茂收</w:t>
            </w:r>
          </w:p>
        </w:tc>
      </w:tr>
    </w:tbl>
    <w:p w14:paraId="0EFA0747">
      <w:pPr>
        <w:spacing w:line="500" w:lineRule="exact"/>
        <w:jc w:val="left"/>
      </w:pPr>
    </w:p>
    <w:p w14:paraId="53FB7D75">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2EEF4E76">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35254FB7">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58381D45">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2097B10C">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1A72DCA3">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51B9F729">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lang w:eastAsia="zh-CN"/>
        </w:rPr>
      </w:pPr>
    </w:p>
    <w:p w14:paraId="2E5857C8">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451292E0">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41CA2FD5">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740BE7BF">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r>
        <w:rPr>
          <w:rFonts w:hint="eastAsia" w:ascii="华文中宋" w:hAnsi="华文中宋" w:eastAsia="华文中宋" w:cs="华文中宋"/>
          <w:b/>
          <w:sz w:val="28"/>
          <w:szCs w:val="28"/>
          <w:lang w:eastAsia="zh-CN"/>
        </w:rPr>
        <w:drawing>
          <wp:anchor distT="0" distB="0" distL="114300" distR="114300" simplePos="0" relativeHeight="251660288" behindDoc="0" locked="0" layoutInCell="1" allowOverlap="1">
            <wp:simplePos x="0" y="0"/>
            <wp:positionH relativeFrom="column">
              <wp:posOffset>1113155</wp:posOffset>
            </wp:positionH>
            <wp:positionV relativeFrom="paragraph">
              <wp:posOffset>-2865120</wp:posOffset>
            </wp:positionV>
            <wp:extent cx="3048000" cy="3048000"/>
            <wp:effectExtent l="0" t="0" r="0" b="0"/>
            <wp:wrapSquare wrapText="bothSides"/>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二维码"/>
                    <pic:cNvPicPr>
                      <a:picLocks noChangeAspect="1"/>
                    </pic:cNvPicPr>
                  </pic:nvPicPr>
                  <pic:blipFill>
                    <a:blip r:embed="rId4"/>
                    <a:stretch>
                      <a:fillRect/>
                    </a:stretch>
                  </pic:blipFill>
                  <pic:spPr>
                    <a:xfrm>
                      <a:off x="0" y="0"/>
                      <a:ext cx="3048000" cy="3048000"/>
                    </a:xfrm>
                    <a:prstGeom prst="rect">
                      <a:avLst/>
                    </a:prstGeom>
                  </pic:spPr>
                </pic:pic>
              </a:graphicData>
            </a:graphic>
          </wp:anchor>
        </w:drawing>
      </w:r>
    </w:p>
    <w:p w14:paraId="5B6BBD6E">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5BFAB7BA">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7291F53B">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69674908">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jc w:val="center"/>
        <w:textAlignment w:val="auto"/>
        <w:rPr>
          <w:rFonts w:hint="eastAsia" w:ascii="华文中宋" w:hAnsi="华文中宋" w:eastAsia="华文中宋" w:cs="华文中宋"/>
          <w:b/>
          <w:sz w:val="28"/>
          <w:szCs w:val="28"/>
        </w:rPr>
      </w:pPr>
    </w:p>
    <w:p w14:paraId="76724D97">
      <w:pPr>
        <w:spacing w:before="156" w:beforeLines="50" w:after="156" w:afterLines="50" w:line="360" w:lineRule="exact"/>
        <w:ind w:firstLine="479" w:firstLineChars="171"/>
        <w:jc w:val="center"/>
        <w:rPr>
          <w:rFonts w:hint="eastAsia" w:ascii="华文中宋" w:hAnsi="华文中宋" w:eastAsia="华文中宋" w:cs="华文中宋"/>
          <w:b/>
          <w:sz w:val="28"/>
          <w:szCs w:val="28"/>
        </w:rPr>
      </w:pPr>
      <w:r>
        <w:rPr>
          <w:rFonts w:hint="eastAsia" w:ascii="华文中宋" w:hAnsi="华文中宋" w:eastAsia="华文中宋" w:cs="华文中宋"/>
          <w:b/>
          <w:sz w:val="28"/>
          <w:szCs w:val="28"/>
        </w:rPr>
        <w:t>全球野生稻有了新家</w:t>
      </w:r>
    </w:p>
    <w:p w14:paraId="3181E6B3">
      <w:pPr>
        <w:spacing w:before="156" w:beforeLines="50" w:after="156" w:afterLines="50" w:line="360" w:lineRule="exact"/>
        <w:ind w:firstLine="479" w:firstLineChars="171"/>
        <w:jc w:val="center"/>
        <w:rPr>
          <w:rFonts w:hint="eastAsia" w:ascii="华文中宋" w:hAnsi="华文中宋" w:eastAsia="华文中宋" w:cs="华文中宋"/>
          <w:b/>
          <w:sz w:val="28"/>
          <w:szCs w:val="28"/>
        </w:rPr>
      </w:pPr>
    </w:p>
    <w:p w14:paraId="05EC63F2">
      <w:pPr>
        <w:spacing w:before="156" w:beforeLines="50" w:after="156" w:afterLines="50" w:line="360" w:lineRule="exact"/>
        <w:ind w:firstLine="422" w:firstLineChars="200"/>
        <w:rPr>
          <w:rFonts w:hint="eastAsia" w:ascii="宋体" w:hAnsi="宋体"/>
          <w:b/>
        </w:rPr>
      </w:pPr>
      <w:r>
        <w:rPr>
          <w:rFonts w:hint="eastAsia" w:ascii="宋体" w:hAnsi="宋体"/>
          <w:b/>
        </w:rPr>
        <w:t>三亚山区，密林深处，一株“杂草”自由生长，从未引起人们的注意。直到今年1月，一次资源普查，来自三亚市农业农村局的专家才发现了它不同寻常的身份——野生稻。</w:t>
      </w:r>
    </w:p>
    <w:p w14:paraId="6EBFA0C7">
      <w:pPr>
        <w:spacing w:before="156" w:beforeLines="50" w:after="156" w:afterLines="50" w:line="360" w:lineRule="exact"/>
        <w:rPr>
          <w:rFonts w:hint="eastAsia" w:ascii="宋体" w:hAnsi="宋体"/>
          <w:b/>
        </w:rPr>
      </w:pPr>
      <w:r>
        <w:rPr>
          <w:rFonts w:hint="eastAsia" w:ascii="宋体" w:hAnsi="宋体"/>
          <w:b/>
        </w:rPr>
        <w:t>野生稻，被誉为“植物中的大熊猫”，目前处于濒危状态。其保留了大量优质基因，是改良稻种品质的关键。</w:t>
      </w:r>
    </w:p>
    <w:p w14:paraId="1A6B7EFB">
      <w:pPr>
        <w:spacing w:before="156" w:beforeLines="50" w:after="156" w:afterLines="50" w:line="360" w:lineRule="exact"/>
        <w:ind w:firstLine="422" w:firstLineChars="200"/>
        <w:rPr>
          <w:rFonts w:hint="eastAsia" w:ascii="宋体" w:hAnsi="宋体"/>
          <w:b/>
        </w:rPr>
      </w:pPr>
      <w:r>
        <w:rPr>
          <w:rFonts w:hint="eastAsia" w:ascii="宋体" w:hAnsi="宋体"/>
          <w:b/>
        </w:rPr>
        <w:t>为进一步确认这株“杂草”的身份，不久后，中国农业科学院科研人员专程进山考察。俯下身子，轻捧叶片观察，中国科学院院士、水稻育种专家钱前作出判断：“这是疣粒野生稻，极为珍贵，要立即保护起来！”</w:t>
      </w:r>
    </w:p>
    <w:p w14:paraId="747882DA">
      <w:pPr>
        <w:spacing w:before="156" w:beforeLines="50" w:after="156" w:afterLines="50" w:line="360" w:lineRule="exact"/>
        <w:ind w:firstLine="422" w:firstLineChars="200"/>
        <w:rPr>
          <w:rFonts w:hint="eastAsia" w:ascii="宋体" w:hAnsi="宋体"/>
          <w:b/>
        </w:rPr>
      </w:pPr>
      <w:r>
        <w:rPr>
          <w:rFonts w:hint="eastAsia" w:ascii="宋体" w:hAnsi="宋体"/>
          <w:b/>
        </w:rPr>
        <w:t>这一株来自山区的野生稻，很快被科研人员转移到了“新家”——位于三亚崖州区的国家野生稻种质资源圃。这里目前保存着22种野生稻、1.3万份野生稻种质资源，是全球最大的野生稻种质资源圃。</w:t>
      </w:r>
    </w:p>
    <w:p w14:paraId="50AE1E55">
      <w:pPr>
        <w:spacing w:before="156" w:beforeLines="50" w:after="156" w:afterLines="50" w:line="360" w:lineRule="exact"/>
        <w:ind w:firstLine="422" w:firstLineChars="200"/>
        <w:rPr>
          <w:rFonts w:hint="eastAsia" w:ascii="宋体" w:hAnsi="宋体"/>
          <w:b/>
        </w:rPr>
      </w:pPr>
      <w:r>
        <w:rPr>
          <w:rFonts w:hint="eastAsia" w:ascii="宋体" w:hAnsi="宋体"/>
          <w:b/>
        </w:rPr>
        <w:t>这些野生稻，是科研人员从全球搜集来的。在三亚，独特的热带气候十分适宜野生稻“安家”，能将外部因素的影响降到最低。</w:t>
      </w:r>
    </w:p>
    <w:p w14:paraId="42F7DDF3">
      <w:pPr>
        <w:spacing w:before="156" w:beforeLines="50" w:after="156" w:afterLines="50" w:line="360" w:lineRule="exact"/>
        <w:ind w:firstLine="422" w:firstLineChars="200"/>
        <w:rPr>
          <w:rFonts w:hint="eastAsia" w:ascii="宋体" w:hAnsi="宋体"/>
          <w:b/>
        </w:rPr>
      </w:pPr>
      <w:r>
        <w:rPr>
          <w:rFonts w:hint="eastAsia" w:ascii="宋体" w:hAnsi="宋体"/>
          <w:b/>
        </w:rPr>
        <w:t>整个资源圃面积达170亩，其中又分为不同的功能区，如物种展示区、鉴定评价区、繁殖更新区、资源保存区、原生境模拟监测区等，能完成野生稻种质资源从收集、保存、保护到后期利用的全过程。</w:t>
      </w:r>
    </w:p>
    <w:p w14:paraId="3CB3E552">
      <w:pPr>
        <w:spacing w:before="156" w:beforeLines="50" w:after="156" w:afterLines="50" w:line="360" w:lineRule="exact"/>
        <w:ind w:firstLine="422" w:firstLineChars="200"/>
        <w:rPr>
          <w:rFonts w:hint="eastAsia" w:ascii="宋体" w:hAnsi="宋体"/>
          <w:b/>
        </w:rPr>
      </w:pPr>
      <w:r>
        <w:rPr>
          <w:rFonts w:hint="eastAsia" w:ascii="宋体" w:hAnsi="宋体"/>
          <w:b/>
        </w:rPr>
        <w:t>近几十年来，我国水稻育种技术不断进步，来自野生稻的基因功不可没。1970年，“杂交水稻之父”袁隆平和团队在三亚南红农场，发现了一株“野败”野生稻，打开了杂交水稻的大门。1973年，我国实现了三系配套并成功培育杂交水稻。</w:t>
      </w:r>
    </w:p>
    <w:p w14:paraId="72B84785">
      <w:pPr>
        <w:spacing w:before="156" w:beforeLines="50" w:after="156" w:afterLines="50" w:line="360" w:lineRule="exact"/>
        <w:ind w:firstLine="422" w:firstLineChars="200"/>
        <w:rPr>
          <w:rFonts w:hint="eastAsia" w:ascii="宋体" w:hAnsi="宋体"/>
          <w:b/>
        </w:rPr>
      </w:pPr>
      <w:r>
        <w:rPr>
          <w:rFonts w:hint="eastAsia" w:ascii="宋体" w:hAnsi="宋体"/>
          <w:b/>
        </w:rPr>
        <w:t>在陵水，有一种名为“红芒”的野生稻资源。中国工程院院士朱英国以此为母本，育成红莲型杂交稻，为世界粮食增产作出巨大贡献。</w:t>
      </w:r>
    </w:p>
    <w:p w14:paraId="5C574734">
      <w:pPr>
        <w:spacing w:before="156" w:beforeLines="50" w:after="156" w:afterLines="50" w:line="360" w:lineRule="exact"/>
        <w:ind w:firstLine="422" w:firstLineChars="200"/>
        <w:rPr>
          <w:rFonts w:hint="eastAsia" w:ascii="宋体" w:hAnsi="宋体"/>
          <w:b/>
        </w:rPr>
      </w:pPr>
      <w:r>
        <w:rPr>
          <w:rFonts w:hint="eastAsia" w:ascii="宋体" w:hAnsi="宋体"/>
          <w:b/>
        </w:rPr>
        <w:t>时至今日，野生稻仍在不断地为科研人员提供新的资源。因此，在资源圃里，科研人员把野生稻搜集起来，目的不仅在于保存，更在于从中挖掘独特的基因。</w:t>
      </w:r>
    </w:p>
    <w:p w14:paraId="041731A5">
      <w:pPr>
        <w:spacing w:before="156" w:beforeLines="50" w:after="156" w:afterLines="50" w:line="360" w:lineRule="exact"/>
        <w:rPr>
          <w:rFonts w:hint="eastAsia" w:ascii="宋体" w:hAnsi="宋体"/>
          <w:b/>
        </w:rPr>
      </w:pPr>
      <w:r>
        <w:rPr>
          <w:rFonts w:hint="eastAsia" w:ascii="宋体" w:hAnsi="宋体"/>
          <w:b/>
        </w:rPr>
        <w:t>钱前团队计划用10年时间完成所有野生稻的基因鉴定，为中国育种创新提供支撑。</w:t>
      </w:r>
    </w:p>
    <w:p w14:paraId="30DB11C5">
      <w:pPr>
        <w:spacing w:before="156" w:beforeLines="50" w:after="156" w:afterLines="50" w:line="360" w:lineRule="exact"/>
        <w:ind w:firstLine="422" w:firstLineChars="200"/>
        <w:rPr>
          <w:rFonts w:hint="eastAsia" w:ascii="宋体" w:hAnsi="宋体"/>
          <w:b/>
        </w:rPr>
      </w:pPr>
      <w:r>
        <w:rPr>
          <w:rFonts w:hint="eastAsia" w:ascii="宋体" w:hAnsi="宋体"/>
          <w:b/>
        </w:rPr>
        <w:t>作为我国第一大口粮作物、世界上重要的粮食作物，从个人吃饱吃好到国家粮食安全，稻谷已然和人类命运共舞。在这片位于中国南端的野生稻种质资源圃里，人类对野生稻的探寻永不止步。关于水稻进化、种业振兴、粮食丰收的故事，也将在这接连上演……</w:t>
      </w:r>
    </w:p>
    <w:p w14:paraId="14E857D4">
      <w:pPr>
        <w:spacing w:before="156" w:beforeLines="50" w:after="156" w:afterLines="50" w:line="360" w:lineRule="exact"/>
        <w:rPr>
          <w:rFonts w:hint="eastAsia" w:ascii="宋体" w:hAnsi="宋体"/>
          <w:b/>
        </w:rPr>
      </w:pPr>
    </w:p>
    <w:p w14:paraId="03119F61">
      <w:pPr>
        <w:spacing w:before="156" w:beforeLines="50" w:after="156" w:afterLines="50" w:line="360" w:lineRule="exact"/>
        <w:rPr>
          <w:rFonts w:hint="eastAsia" w:ascii="宋体" w:hAnsi="宋体"/>
          <w:b/>
        </w:rPr>
      </w:pPr>
      <w:r>
        <w:rPr>
          <w:rFonts w:hint="eastAsia" w:ascii="宋体" w:hAnsi="宋体"/>
          <w:b/>
        </w:rPr>
        <w:t>图一：2024年1月19日清晨，航拍位于三亚市崖州区的国家野生稻种质资源圃。这是全球最大的野生稻种质资源圃，目前保存着全球22种野生稻、1.3万份野生稻种质资源。</w:t>
      </w:r>
    </w:p>
    <w:p w14:paraId="25BA74F8">
      <w:pPr>
        <w:spacing w:before="156" w:beforeLines="50" w:after="156" w:afterLines="50" w:line="360" w:lineRule="exact"/>
        <w:rPr>
          <w:rFonts w:hint="eastAsia" w:ascii="宋体" w:hAnsi="宋体"/>
          <w:b/>
        </w:rPr>
      </w:pPr>
      <w:r>
        <w:rPr>
          <w:rFonts w:hint="eastAsia" w:ascii="宋体" w:hAnsi="宋体"/>
          <w:b/>
        </w:rPr>
        <w:t>图二：2024年1月30日，野生稻科考队深入三亚山区密林寻找疣粒野生稻。疣粒野生稻生长于阳光充足且有一定遮阴的位置，寻找极其困难。</w:t>
      </w:r>
    </w:p>
    <w:p w14:paraId="6990DA6A">
      <w:pPr>
        <w:spacing w:before="156" w:beforeLines="50" w:after="156" w:afterLines="50" w:line="360" w:lineRule="exact"/>
        <w:rPr>
          <w:rFonts w:hint="eastAsia" w:ascii="宋体" w:hAnsi="宋体"/>
          <w:b/>
        </w:rPr>
      </w:pPr>
    </w:p>
    <w:p w14:paraId="031A4A1E">
      <w:pPr>
        <w:spacing w:before="156" w:beforeLines="50" w:after="156" w:afterLines="50" w:line="360" w:lineRule="exact"/>
        <w:rPr>
          <w:rFonts w:hint="eastAsia" w:ascii="宋体" w:hAnsi="宋体"/>
          <w:b/>
        </w:rPr>
      </w:pPr>
      <w:r>
        <w:rPr>
          <w:rFonts w:hint="eastAsia" w:ascii="宋体" w:hAnsi="宋体"/>
          <w:b/>
        </w:rPr>
        <w:t>图三：2024年1月30日，张谢勇博士观察并记录疣粒野生稻的表型性状。</w:t>
      </w:r>
    </w:p>
    <w:p w14:paraId="05AD8FB7">
      <w:pPr>
        <w:spacing w:before="156" w:beforeLines="50" w:after="156" w:afterLines="50" w:line="360" w:lineRule="exact"/>
        <w:rPr>
          <w:rFonts w:hint="eastAsia" w:ascii="宋体" w:hAnsi="宋体"/>
          <w:b/>
        </w:rPr>
      </w:pPr>
    </w:p>
    <w:p w14:paraId="2A28165C">
      <w:pPr>
        <w:spacing w:before="156" w:beforeLines="50" w:after="156" w:afterLines="50" w:line="360" w:lineRule="exact"/>
        <w:rPr>
          <w:rFonts w:hint="eastAsia" w:ascii="宋体" w:hAnsi="宋体"/>
          <w:b/>
        </w:rPr>
      </w:pPr>
      <w:r>
        <w:rPr>
          <w:rFonts w:hint="eastAsia" w:ascii="宋体" w:hAnsi="宋体"/>
          <w:b/>
        </w:rPr>
        <w:t>图四：2024年1月30日，郑晓明博士（左）和张步云博士在深山密林中采集野生稻的伴生物种。伴生物种可以为科学家提供疣粒稻野生种群所处生境的类型和现状等信息。</w:t>
      </w:r>
    </w:p>
    <w:p w14:paraId="7F91CF7B">
      <w:pPr>
        <w:spacing w:before="156" w:beforeLines="50" w:after="156" w:afterLines="50" w:line="360" w:lineRule="exact"/>
        <w:rPr>
          <w:rFonts w:hint="eastAsia" w:ascii="宋体" w:hAnsi="宋体"/>
          <w:b/>
        </w:rPr>
      </w:pPr>
    </w:p>
    <w:p w14:paraId="68C5D247">
      <w:pPr>
        <w:spacing w:before="156" w:beforeLines="50" w:after="156" w:afterLines="50" w:line="360" w:lineRule="exact"/>
        <w:rPr>
          <w:rFonts w:hint="eastAsia" w:ascii="宋体" w:hAnsi="宋体"/>
          <w:b/>
        </w:rPr>
      </w:pPr>
      <w:r>
        <w:rPr>
          <w:rFonts w:hint="eastAsia" w:ascii="宋体" w:hAnsi="宋体"/>
          <w:b/>
        </w:rPr>
        <w:t>图五：2023年12月12日，国家野生稻种质资源圃，科研人员程云连查看野生稻穗部性状，包括结实率、落粒性等。程云连长期驻扎在这里，守护着大量野生稻资源。</w:t>
      </w:r>
    </w:p>
    <w:p w14:paraId="78003963">
      <w:pPr>
        <w:spacing w:before="156" w:beforeLines="50" w:after="156" w:afterLines="50" w:line="360" w:lineRule="exact"/>
        <w:rPr>
          <w:rFonts w:hint="eastAsia" w:ascii="宋体" w:hAnsi="宋体"/>
          <w:b/>
        </w:rPr>
      </w:pPr>
    </w:p>
    <w:p w14:paraId="42BE4E2B">
      <w:pPr>
        <w:spacing w:before="156" w:beforeLines="50" w:after="156" w:afterLines="50" w:line="360" w:lineRule="exact"/>
        <w:rPr>
          <w:rFonts w:hint="eastAsia" w:ascii="宋体" w:hAnsi="宋体"/>
          <w:b/>
        </w:rPr>
      </w:pPr>
      <w:r>
        <w:rPr>
          <w:rFonts w:hint="eastAsia" w:ascii="宋体" w:hAnsi="宋体"/>
          <w:b/>
        </w:rPr>
        <w:t>图六：2024年1月19日，国家野生稻种质资源圃，中国科学院院士、水稻育种专家钱前（中）和水稻专家交流野生稻的收集、保存和保护。野生稻是稻种资源的重要组成部分，是水稻杂交育种中最为重要的材料。</w:t>
      </w:r>
    </w:p>
    <w:p w14:paraId="68121299">
      <w:pPr>
        <w:spacing w:before="156" w:beforeLines="50" w:after="156" w:afterLines="50" w:line="360" w:lineRule="exact"/>
        <w:rPr>
          <w:rFonts w:hint="eastAsia" w:ascii="宋体" w:hAnsi="宋体"/>
          <w:b/>
        </w:rPr>
      </w:pPr>
    </w:p>
    <w:p w14:paraId="20C1C360">
      <w:pPr>
        <w:spacing w:before="156" w:beforeLines="50" w:after="156" w:afterLines="50" w:line="360" w:lineRule="exact"/>
        <w:rPr>
          <w:rFonts w:hint="eastAsia" w:ascii="宋体" w:hAnsi="宋体"/>
          <w:b/>
        </w:rPr>
      </w:pPr>
      <w:r>
        <w:rPr>
          <w:rFonts w:hint="eastAsia" w:ascii="宋体" w:hAnsi="宋体"/>
          <w:b/>
        </w:rPr>
        <w:t>图七：2024年1月19日，国家野生稻种质资源圃物种展示区，水稻专家在田间清理附在野生稻茎秆上的福寿螺卵。福寿螺是恶性水生生物，会啃食野生稻的秧苗、幼苗等，破坏野生稻的生存环境。</w:t>
      </w:r>
    </w:p>
    <w:p w14:paraId="56A29D2E">
      <w:pPr>
        <w:spacing w:before="156" w:beforeLines="50" w:after="156" w:afterLines="50" w:line="360" w:lineRule="exact"/>
        <w:rPr>
          <w:rFonts w:hint="eastAsia" w:ascii="宋体" w:hAnsi="宋体"/>
          <w:b/>
        </w:rPr>
      </w:pPr>
    </w:p>
    <w:p w14:paraId="048097FA">
      <w:pPr>
        <w:spacing w:before="156" w:beforeLines="50" w:after="156" w:afterLines="50" w:line="360" w:lineRule="exact"/>
        <w:rPr>
          <w:rFonts w:hint="eastAsia" w:ascii="宋体" w:hAnsi="宋体" w:eastAsia="宋体"/>
          <w:b/>
          <w:lang w:eastAsia="zh-CN"/>
        </w:rPr>
      </w:pPr>
      <w:r>
        <w:rPr>
          <w:rFonts w:hint="eastAsia" w:ascii="宋体" w:hAnsi="宋体"/>
          <w:b/>
        </w:rPr>
        <w:t>图八：2023年12月12日，一只白鹭在国家野生稻种质资源圃资源保存区“漫步”。这是整个资源圃的核心，承担着野生稻长期活态保存的任务，每一株野生稻都独立种在盆中，保持自身特征。</w:t>
      </w:r>
    </w:p>
    <w:p w14:paraId="29590E53">
      <w:pPr>
        <w:spacing w:line="500" w:lineRule="exact"/>
        <w:jc w:val="left"/>
        <w:rPr>
          <w:rFonts w:hint="eastAsia" w:eastAsia="宋体"/>
          <w:lang w:eastAsia="zh-CN"/>
        </w:rPr>
      </w:pPr>
      <w:bookmarkStart w:id="0" w:name="_GoBack"/>
      <w:bookmarkEnd w:id="0"/>
      <w:r>
        <w:rPr>
          <w:rFonts w:hint="eastAsia" w:eastAsia="宋体"/>
          <w:lang w:eastAsia="zh-CN"/>
        </w:rPr>
        <w:drawing>
          <wp:anchor distT="0" distB="0" distL="114300" distR="114300" simplePos="0" relativeHeight="251659264" behindDoc="0" locked="0" layoutInCell="1" allowOverlap="1">
            <wp:simplePos x="0" y="0"/>
            <wp:positionH relativeFrom="column">
              <wp:posOffset>965200</wp:posOffset>
            </wp:positionH>
            <wp:positionV relativeFrom="paragraph">
              <wp:posOffset>157480</wp:posOffset>
            </wp:positionV>
            <wp:extent cx="3266440" cy="7070090"/>
            <wp:effectExtent l="0" t="0" r="10160" b="1270"/>
            <wp:wrapSquare wrapText="bothSides"/>
            <wp:docPr id="1" name="图片 1" descr="首屏首页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屏首页截图"/>
                    <pic:cNvPicPr>
                      <a:picLocks noChangeAspect="1"/>
                    </pic:cNvPicPr>
                  </pic:nvPicPr>
                  <pic:blipFill>
                    <a:blip r:embed="rId5"/>
                    <a:stretch>
                      <a:fillRect/>
                    </a:stretch>
                  </pic:blipFill>
                  <pic:spPr>
                    <a:xfrm>
                      <a:off x="0" y="0"/>
                      <a:ext cx="3266440" cy="7070090"/>
                    </a:xfrm>
                    <a:prstGeom prst="rect">
                      <a:avLst/>
                    </a:prstGeom>
                  </pic:spPr>
                </pic:pic>
              </a:graphicData>
            </a:graphic>
          </wp:anchor>
        </w:drawing>
      </w:r>
    </w:p>
    <w:p w14:paraId="5A688885">
      <w:pPr>
        <w:spacing w:line="500" w:lineRule="exact"/>
        <w:jc w:val="left"/>
        <w:rPr>
          <w:rFonts w:hint="eastAsia" w:eastAsia="宋体"/>
          <w:lang w:eastAsia="zh-CN"/>
        </w:rPr>
      </w:pPr>
    </w:p>
    <w:p w14:paraId="05743DE6">
      <w:pPr>
        <w:spacing w:line="500" w:lineRule="exact"/>
        <w:jc w:val="left"/>
        <w:rPr>
          <w:rFonts w:hint="eastAsia" w:eastAsia="宋体"/>
          <w:lang w:eastAsia="zh-CN"/>
        </w:rPr>
      </w:pPr>
    </w:p>
    <w:p w14:paraId="28849CA1">
      <w:pPr>
        <w:spacing w:line="500" w:lineRule="exact"/>
        <w:jc w:val="left"/>
        <w:rPr>
          <w:rFonts w:hint="eastAsia" w:eastAsia="宋体"/>
          <w:lang w:eastAsia="zh-CN"/>
        </w:rPr>
      </w:pPr>
    </w:p>
    <w:p w14:paraId="288FC210">
      <w:pPr>
        <w:spacing w:line="500" w:lineRule="exact"/>
        <w:jc w:val="left"/>
        <w:rPr>
          <w:rFonts w:hint="eastAsia" w:eastAsia="宋体"/>
          <w:lang w:eastAsia="zh-CN"/>
        </w:rPr>
      </w:pPr>
    </w:p>
    <w:p w14:paraId="148D5F13">
      <w:pPr>
        <w:spacing w:line="500" w:lineRule="exact"/>
        <w:jc w:val="left"/>
        <w:rPr>
          <w:rFonts w:hint="eastAsia" w:eastAsia="宋体"/>
          <w:lang w:eastAsia="zh-CN"/>
        </w:rPr>
      </w:pPr>
    </w:p>
    <w:p w14:paraId="0E14AF24">
      <w:pPr>
        <w:spacing w:line="500" w:lineRule="exact"/>
        <w:jc w:val="left"/>
        <w:rPr>
          <w:rFonts w:hint="eastAsia" w:eastAsia="宋体"/>
          <w:lang w:eastAsia="zh-CN"/>
        </w:rPr>
      </w:pPr>
    </w:p>
    <w:p w14:paraId="7DF3E5A3">
      <w:pPr>
        <w:spacing w:line="500" w:lineRule="exact"/>
        <w:jc w:val="left"/>
        <w:rPr>
          <w:rFonts w:hint="eastAsia" w:eastAsia="宋体"/>
          <w:lang w:eastAsia="zh-CN"/>
        </w:rPr>
      </w:pPr>
    </w:p>
    <w:p w14:paraId="63129AF4">
      <w:pPr>
        <w:spacing w:line="500" w:lineRule="exact"/>
        <w:jc w:val="left"/>
        <w:rPr>
          <w:rFonts w:hint="eastAsia" w:eastAsia="宋体"/>
          <w:lang w:eastAsia="zh-CN"/>
        </w:rPr>
      </w:pPr>
    </w:p>
    <w:p w14:paraId="1015C8B4">
      <w:pPr>
        <w:spacing w:line="500" w:lineRule="exact"/>
        <w:jc w:val="left"/>
        <w:rPr>
          <w:rFonts w:hint="eastAsia" w:eastAsia="宋体"/>
          <w:lang w:eastAsia="zh-CN"/>
        </w:rPr>
      </w:pPr>
    </w:p>
    <w:p w14:paraId="491DF20D">
      <w:pPr>
        <w:spacing w:line="500" w:lineRule="exact"/>
        <w:jc w:val="left"/>
        <w:rPr>
          <w:rFonts w:hint="eastAsia" w:eastAsia="宋体"/>
          <w:lang w:eastAsia="zh-CN"/>
        </w:rPr>
      </w:pPr>
    </w:p>
    <w:p w14:paraId="61A7297A">
      <w:pPr>
        <w:spacing w:line="500" w:lineRule="exact"/>
        <w:jc w:val="left"/>
        <w:rPr>
          <w:rFonts w:hint="eastAsia" w:eastAsia="宋体"/>
          <w:lang w:eastAsia="zh-CN"/>
        </w:rPr>
      </w:pPr>
    </w:p>
    <w:p w14:paraId="15A1DD64">
      <w:pPr>
        <w:spacing w:line="500" w:lineRule="exact"/>
        <w:jc w:val="left"/>
        <w:rPr>
          <w:rFonts w:hint="eastAsia" w:eastAsia="宋体"/>
          <w:lang w:eastAsia="zh-CN"/>
        </w:rPr>
      </w:pPr>
    </w:p>
    <w:p w14:paraId="0EDF5D3E">
      <w:pPr>
        <w:spacing w:line="500" w:lineRule="exact"/>
        <w:jc w:val="left"/>
        <w:rPr>
          <w:rFonts w:hint="eastAsia" w:eastAsia="宋体"/>
          <w:lang w:eastAsia="zh-CN"/>
        </w:rPr>
      </w:pPr>
    </w:p>
    <w:p w14:paraId="63763381">
      <w:pPr>
        <w:spacing w:line="500" w:lineRule="exact"/>
        <w:jc w:val="left"/>
        <w:rPr>
          <w:rFonts w:hint="eastAsia" w:eastAsia="宋体"/>
          <w:lang w:eastAsia="zh-CN"/>
        </w:rPr>
      </w:pPr>
    </w:p>
    <w:p w14:paraId="78C130FD">
      <w:pPr>
        <w:spacing w:line="500" w:lineRule="exact"/>
        <w:jc w:val="left"/>
        <w:rPr>
          <w:rFonts w:hint="eastAsia" w:eastAsia="宋体"/>
          <w:lang w:eastAsia="zh-CN"/>
        </w:rPr>
      </w:pPr>
    </w:p>
    <w:p w14:paraId="00FF13AE">
      <w:pPr>
        <w:spacing w:line="500" w:lineRule="exact"/>
        <w:jc w:val="left"/>
        <w:rPr>
          <w:rFonts w:hint="eastAsia" w:eastAsia="宋体"/>
          <w:lang w:eastAsia="zh-CN"/>
        </w:rPr>
      </w:pPr>
    </w:p>
    <w:p w14:paraId="28FFB86F">
      <w:pPr>
        <w:spacing w:line="500" w:lineRule="exact"/>
        <w:jc w:val="left"/>
        <w:rPr>
          <w:rFonts w:hint="eastAsia" w:eastAsia="宋体"/>
          <w:lang w:eastAsia="zh-CN"/>
        </w:rPr>
      </w:pPr>
    </w:p>
    <w:p w14:paraId="5DE08055">
      <w:pPr>
        <w:spacing w:line="500" w:lineRule="exact"/>
        <w:jc w:val="left"/>
        <w:rPr>
          <w:rFonts w:hint="eastAsia" w:eastAsia="宋体"/>
          <w:lang w:eastAsia="zh-CN"/>
        </w:rPr>
      </w:pPr>
    </w:p>
    <w:p w14:paraId="5E7D0BF2">
      <w:pPr>
        <w:spacing w:line="500" w:lineRule="exact"/>
        <w:jc w:val="left"/>
        <w:rPr>
          <w:rFonts w:hint="eastAsia" w:eastAsia="宋体"/>
          <w:lang w:eastAsia="zh-CN"/>
        </w:rPr>
      </w:pPr>
    </w:p>
    <w:p w14:paraId="45036808">
      <w:pPr>
        <w:spacing w:line="500" w:lineRule="exact"/>
        <w:jc w:val="left"/>
        <w:rPr>
          <w:rFonts w:hint="eastAsia" w:eastAsia="宋体"/>
          <w:lang w:eastAsia="zh-CN"/>
        </w:rPr>
      </w:pPr>
    </w:p>
    <w:p w14:paraId="0E5A1289">
      <w:pPr>
        <w:spacing w:line="500" w:lineRule="exact"/>
        <w:jc w:val="left"/>
        <w:rPr>
          <w:rFonts w:hint="eastAsia" w:eastAsia="宋体"/>
          <w:lang w:eastAsia="zh-CN"/>
        </w:rPr>
      </w:pPr>
    </w:p>
    <w:p w14:paraId="7E4B88E6">
      <w:pPr>
        <w:spacing w:line="500" w:lineRule="exact"/>
        <w:jc w:val="left"/>
        <w:rPr>
          <w:rFonts w:hint="eastAsia" w:eastAsia="宋体"/>
          <w:lang w:eastAsia="zh-CN"/>
        </w:rPr>
      </w:pPr>
    </w:p>
    <w:p w14:paraId="49DF396D">
      <w:pPr>
        <w:spacing w:line="500" w:lineRule="exact"/>
        <w:jc w:val="left"/>
        <w:rPr>
          <w:rFonts w:hint="eastAsia" w:eastAsia="宋体"/>
          <w:lang w:eastAsia="zh-CN"/>
        </w:rPr>
      </w:pPr>
    </w:p>
    <w:p w14:paraId="32A2A940">
      <w:pPr>
        <w:spacing w:line="500" w:lineRule="exact"/>
        <w:jc w:val="left"/>
        <w:rPr>
          <w:rFonts w:hint="eastAsia" w:eastAsia="宋体"/>
          <w:lang w:eastAsia="zh-CN"/>
        </w:rPr>
      </w:pPr>
    </w:p>
    <w:p w14:paraId="53FF3A67">
      <w:pPr>
        <w:spacing w:line="500" w:lineRule="exact"/>
        <w:jc w:val="left"/>
        <w:rPr>
          <w:rFonts w:hint="eastAsia" w:eastAsia="宋体"/>
          <w:lang w:eastAsia="zh-CN"/>
        </w:rPr>
      </w:pPr>
    </w:p>
    <w:p w14:paraId="0118C7F4">
      <w:pPr>
        <w:spacing w:line="500" w:lineRule="exact"/>
        <w:jc w:val="left"/>
        <w:rPr>
          <w:rFonts w:hint="eastAsia" w:eastAsia="宋体"/>
          <w:lang w:eastAsia="zh-CN"/>
        </w:rPr>
      </w:pPr>
    </w:p>
    <w:p w14:paraId="5391E2D5">
      <w:pPr>
        <w:spacing w:line="500" w:lineRule="exact"/>
        <w:jc w:val="left"/>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13970</wp:posOffset>
            </wp:positionH>
            <wp:positionV relativeFrom="paragraph">
              <wp:posOffset>123190</wp:posOffset>
            </wp:positionV>
            <wp:extent cx="5261610" cy="3507740"/>
            <wp:effectExtent l="0" t="0" r="11430" b="12700"/>
            <wp:wrapSquare wrapText="bothSides"/>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5261610" cy="3507740"/>
                    </a:xfrm>
                    <a:prstGeom prst="rect">
                      <a:avLst/>
                    </a:prstGeom>
                  </pic:spPr>
                </pic:pic>
              </a:graphicData>
            </a:graphic>
          </wp:anchor>
        </w:drawing>
      </w:r>
      <w:r>
        <w:rPr>
          <w:rFonts w:hint="eastAsia" w:eastAsia="宋体"/>
          <w:lang w:eastAsia="zh-CN"/>
        </w:rPr>
        <w:t>2024年1月19日清晨，航拍位于三亚市崖州区的国家野生稻种质资源圃。这是全球最大的野生稻种质资源圃，目前保存着全球22种野生稻、1.3万份野生稻种质资源。</w:t>
      </w:r>
    </w:p>
    <w:p w14:paraId="68766C5F">
      <w:pPr>
        <w:spacing w:line="500" w:lineRule="exact"/>
        <w:jc w:val="left"/>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184785</wp:posOffset>
            </wp:positionV>
            <wp:extent cx="5263515" cy="3509010"/>
            <wp:effectExtent l="0" t="0" r="9525" b="11430"/>
            <wp:wrapSquare wrapText="bothSides"/>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5263515" cy="3509010"/>
                    </a:xfrm>
                    <a:prstGeom prst="rect">
                      <a:avLst/>
                    </a:prstGeom>
                  </pic:spPr>
                </pic:pic>
              </a:graphicData>
            </a:graphic>
          </wp:anchor>
        </w:drawing>
      </w:r>
      <w:r>
        <w:rPr>
          <w:rFonts w:hint="eastAsia" w:eastAsia="宋体"/>
          <w:lang w:eastAsia="zh-CN"/>
        </w:rPr>
        <w:t xml:space="preserve"> 2024年1月30日，野生稻科考队深入三亚山区密林寻找疣粒野生稻。疣粒野生稻生长于阳光充足且有一定遮阴的位置，寻找极其困难。</w:t>
      </w:r>
    </w:p>
    <w:p w14:paraId="14078E1C">
      <w:pPr>
        <w:spacing w:line="500" w:lineRule="exact"/>
        <w:jc w:val="left"/>
        <w:rPr>
          <w:rFonts w:hint="eastAsia"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-215265</wp:posOffset>
            </wp:positionH>
            <wp:positionV relativeFrom="paragraph">
              <wp:posOffset>81280</wp:posOffset>
            </wp:positionV>
            <wp:extent cx="5258435" cy="3582035"/>
            <wp:effectExtent l="0" t="0" r="14605" b="14605"/>
            <wp:wrapSquare wrapText="bothSides"/>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8"/>
                    <a:stretch>
                      <a:fillRect/>
                    </a:stretch>
                  </pic:blipFill>
                  <pic:spPr>
                    <a:xfrm>
                      <a:off x="0" y="0"/>
                      <a:ext cx="5258435" cy="3582035"/>
                    </a:xfrm>
                    <a:prstGeom prst="rect">
                      <a:avLst/>
                    </a:prstGeom>
                  </pic:spPr>
                </pic:pic>
              </a:graphicData>
            </a:graphic>
          </wp:anchor>
        </w:drawing>
      </w:r>
      <w:r>
        <w:rPr>
          <w:rFonts w:hint="eastAsia" w:eastAsia="宋体"/>
          <w:lang w:eastAsia="zh-CN"/>
        </w:rPr>
        <w:t>2024年1月30日，张谢勇博士观察并记录疣粒野生稻的表型性状。</w:t>
      </w:r>
    </w:p>
    <w:p w14:paraId="6C949859">
      <w:pPr>
        <w:spacing w:line="500" w:lineRule="exact"/>
        <w:jc w:val="left"/>
        <w:rPr>
          <w:rFonts w:hint="eastAsia" w:eastAsia="宋体"/>
          <w:lang w:eastAsia="zh-CN"/>
        </w:rPr>
      </w:pPr>
      <w:r>
        <w:rPr>
          <w:rFonts w:hint="eastAsia" w:eastAsia="宋体"/>
          <w:lang w:eastAsia="zh-CN"/>
        </w:rPr>
        <w:t>2024年1月30日，郑晓明博士（左）和张步云博士在深山密林中采集野生稻的伴生物种。伴生物种可以为科学家提供疣粒稻野生种群所处生境的类型和现状等信息。</w:t>
      </w:r>
      <w:r>
        <w:rPr>
          <w:rFonts w:hint="eastAsia" w:eastAsia="宋体"/>
          <w:lang w:eastAsia="zh-CN"/>
        </w:rPr>
        <w:drawing>
          <wp:anchor distT="0" distB="0" distL="114300" distR="114300" simplePos="0" relativeHeight="251664384" behindDoc="0" locked="0" layoutInCell="1" allowOverlap="1">
            <wp:simplePos x="0" y="0"/>
            <wp:positionH relativeFrom="column">
              <wp:posOffset>-245110</wp:posOffset>
            </wp:positionH>
            <wp:positionV relativeFrom="paragraph">
              <wp:posOffset>276860</wp:posOffset>
            </wp:positionV>
            <wp:extent cx="5261610" cy="3507740"/>
            <wp:effectExtent l="0" t="0" r="11430" b="12700"/>
            <wp:wrapSquare wrapText="bothSides"/>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9"/>
                    <a:stretch>
                      <a:fillRect/>
                    </a:stretch>
                  </pic:blipFill>
                  <pic:spPr>
                    <a:xfrm>
                      <a:off x="0" y="0"/>
                      <a:ext cx="5261610" cy="3507740"/>
                    </a:xfrm>
                    <a:prstGeom prst="rect">
                      <a:avLst/>
                    </a:prstGeom>
                  </pic:spPr>
                </pic:pic>
              </a:graphicData>
            </a:graphic>
          </wp:anchor>
        </w:drawing>
      </w:r>
    </w:p>
    <w:p w14:paraId="1DA225AD">
      <w:pPr>
        <w:spacing w:line="500" w:lineRule="exact"/>
        <w:jc w:val="left"/>
        <w:rPr>
          <w:rFonts w:hint="eastAsia" w:eastAsia="宋体"/>
          <w:lang w:eastAsia="zh-CN"/>
        </w:rPr>
      </w:pPr>
    </w:p>
    <w:p w14:paraId="128F3B8E">
      <w:pPr>
        <w:spacing w:line="500" w:lineRule="exact"/>
        <w:jc w:val="left"/>
        <w:rPr>
          <w:rFonts w:hint="eastAsia" w:eastAsia="宋体"/>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77470</wp:posOffset>
            </wp:positionV>
            <wp:extent cx="5261610" cy="3507740"/>
            <wp:effectExtent l="0" t="0" r="11430" b="12700"/>
            <wp:wrapSquare wrapText="bothSides"/>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5261610" cy="3507740"/>
                    </a:xfrm>
                    <a:prstGeom prst="rect">
                      <a:avLst/>
                    </a:prstGeom>
                  </pic:spPr>
                </pic:pic>
              </a:graphicData>
            </a:graphic>
          </wp:anchor>
        </w:drawing>
      </w:r>
      <w:r>
        <w:rPr>
          <w:rFonts w:hint="eastAsia" w:eastAsia="宋体"/>
          <w:lang w:eastAsia="zh-CN"/>
        </w:rPr>
        <w:t xml:space="preserve"> 2023年12月12日，国家野生稻种质资源圃，科研人员程云连查看野生稻穗部性状，包括结实率、落粒性等。程云连长期驻扎在这里，守护着大量野生稻资源。</w:t>
      </w:r>
    </w:p>
    <w:p w14:paraId="03041412">
      <w:pPr>
        <w:spacing w:line="500" w:lineRule="exact"/>
        <w:jc w:val="left"/>
        <w:rPr>
          <w:rFonts w:hint="eastAsia" w:eastAsia="宋体"/>
          <w:lang w:eastAsia="zh-CN"/>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350520</wp:posOffset>
            </wp:positionH>
            <wp:positionV relativeFrom="paragraph">
              <wp:posOffset>205740</wp:posOffset>
            </wp:positionV>
            <wp:extent cx="4600575" cy="3067050"/>
            <wp:effectExtent l="0" t="0" r="1905" b="11430"/>
            <wp:wrapTopAndBottom/>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1"/>
                    <a:stretch>
                      <a:fillRect/>
                    </a:stretch>
                  </pic:blipFill>
                  <pic:spPr>
                    <a:xfrm>
                      <a:off x="0" y="0"/>
                      <a:ext cx="4600575" cy="3067050"/>
                    </a:xfrm>
                    <a:prstGeom prst="rect">
                      <a:avLst/>
                    </a:prstGeom>
                  </pic:spPr>
                </pic:pic>
              </a:graphicData>
            </a:graphic>
          </wp:anchor>
        </w:drawing>
      </w:r>
    </w:p>
    <w:p w14:paraId="566F3517">
      <w:pPr>
        <w:spacing w:line="500" w:lineRule="exact"/>
        <w:jc w:val="left"/>
        <w:rPr>
          <w:rFonts w:hint="eastAsia" w:eastAsia="宋体"/>
          <w:lang w:eastAsia="zh-CN"/>
        </w:rPr>
      </w:pPr>
      <w:r>
        <w:rPr>
          <w:rFonts w:hint="eastAsia" w:eastAsia="宋体"/>
          <w:lang w:eastAsia="zh-CN"/>
        </w:rPr>
        <w:t>2024年1月19日，国家野生稻种质资源圃，中国科学院院士、水稻育种专家钱前（中）和水稻专家交流野生稻的收集、保存和保护。野生稻是稻种资源的重要组成部分，是水稻杂交育种中最为重要的材料。</w:t>
      </w:r>
    </w:p>
    <w:p w14:paraId="1EB2FEA0">
      <w:pPr>
        <w:spacing w:line="500" w:lineRule="exact"/>
        <w:jc w:val="left"/>
        <w:rPr>
          <w:rFonts w:hint="eastAsia" w:eastAsia="宋体"/>
          <w:lang w:eastAsia="zh-CN"/>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157480</wp:posOffset>
            </wp:positionH>
            <wp:positionV relativeFrom="paragraph">
              <wp:posOffset>77470</wp:posOffset>
            </wp:positionV>
            <wp:extent cx="5039360" cy="3157855"/>
            <wp:effectExtent l="0" t="0" r="5080" b="12065"/>
            <wp:wrapTopAndBottom/>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2"/>
                    <a:stretch>
                      <a:fillRect/>
                    </a:stretch>
                  </pic:blipFill>
                  <pic:spPr>
                    <a:xfrm>
                      <a:off x="0" y="0"/>
                      <a:ext cx="5039360" cy="3157855"/>
                    </a:xfrm>
                    <a:prstGeom prst="rect">
                      <a:avLst/>
                    </a:prstGeom>
                  </pic:spPr>
                </pic:pic>
              </a:graphicData>
            </a:graphic>
          </wp:anchor>
        </w:drawing>
      </w:r>
    </w:p>
    <w:p w14:paraId="65F903E7">
      <w:pPr>
        <w:spacing w:line="500" w:lineRule="exact"/>
        <w:jc w:val="left"/>
        <w:rPr>
          <w:rFonts w:hint="eastAsia" w:eastAsia="宋体"/>
          <w:lang w:eastAsia="zh-CN"/>
        </w:rPr>
      </w:pPr>
      <w:r>
        <w:rPr>
          <w:rFonts w:hint="eastAsia" w:eastAsia="宋体"/>
          <w:lang w:eastAsia="zh-CN"/>
        </w:rPr>
        <w:t>2024年1月19日，国家野生稻种质资源圃物种展示区，水稻专家在田间清理附在野生稻茎秆上的福寿螺卵。福寿螺是恶性水生生物，会啃食野生稻的秧苗、幼苗等，破坏野生稻的生存环境。</w:t>
      </w:r>
    </w:p>
    <w:p w14:paraId="53EDD407">
      <w:pPr>
        <w:spacing w:line="500" w:lineRule="exact"/>
        <w:jc w:val="left"/>
        <w:rPr>
          <w:rFonts w:hint="eastAsia" w:eastAsia="宋体"/>
          <w:lang w:eastAsia="zh-CN"/>
        </w:rPr>
      </w:pPr>
      <w:r>
        <w:rPr>
          <w:rFonts w:hint="eastAsia" w:eastAsia="宋体"/>
          <w:lang w:eastAsia="zh-CN"/>
        </w:rPr>
        <w:drawing>
          <wp:anchor distT="0" distB="0" distL="114300" distR="114300" simplePos="0" relativeHeight="251668480" behindDoc="0" locked="0" layoutInCell="1" allowOverlap="1">
            <wp:simplePos x="0" y="0"/>
            <wp:positionH relativeFrom="column">
              <wp:posOffset>320040</wp:posOffset>
            </wp:positionH>
            <wp:positionV relativeFrom="paragraph">
              <wp:posOffset>102235</wp:posOffset>
            </wp:positionV>
            <wp:extent cx="4816475" cy="3210560"/>
            <wp:effectExtent l="0" t="0" r="14605" b="5080"/>
            <wp:wrapTopAndBottom/>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3"/>
                    <a:stretch>
                      <a:fillRect/>
                    </a:stretch>
                  </pic:blipFill>
                  <pic:spPr>
                    <a:xfrm>
                      <a:off x="0" y="0"/>
                      <a:ext cx="4816475" cy="3210560"/>
                    </a:xfrm>
                    <a:prstGeom prst="rect">
                      <a:avLst/>
                    </a:prstGeom>
                  </pic:spPr>
                </pic:pic>
              </a:graphicData>
            </a:graphic>
          </wp:anchor>
        </w:drawing>
      </w:r>
      <w:r>
        <w:rPr>
          <w:rFonts w:hint="eastAsia" w:eastAsia="宋体"/>
          <w:lang w:eastAsia="zh-CN"/>
        </w:rPr>
        <w:t>2023年12月12日，一只白鹭在国家野生稻种质资源圃资源保存区“漫步”。这是整个资源圃的核心，承担着野生稻长期活态保存的任务，每一株野生稻都独立种在盆中，保持自身特征。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634B8"/>
    <w:rsid w:val="02703434"/>
    <w:rsid w:val="083C1600"/>
    <w:rsid w:val="0CA5180B"/>
    <w:rsid w:val="0DF540CC"/>
    <w:rsid w:val="0E5A03D3"/>
    <w:rsid w:val="0F4E618A"/>
    <w:rsid w:val="0FDB623A"/>
    <w:rsid w:val="114809B7"/>
    <w:rsid w:val="11991213"/>
    <w:rsid w:val="12C81DAF"/>
    <w:rsid w:val="15DF7B3C"/>
    <w:rsid w:val="17F97023"/>
    <w:rsid w:val="19821E18"/>
    <w:rsid w:val="19F44305"/>
    <w:rsid w:val="1A287D6B"/>
    <w:rsid w:val="21091F11"/>
    <w:rsid w:val="232E7D9F"/>
    <w:rsid w:val="25EF3DCB"/>
    <w:rsid w:val="26E52AD8"/>
    <w:rsid w:val="285202AE"/>
    <w:rsid w:val="2AC30F03"/>
    <w:rsid w:val="2FBE5EDC"/>
    <w:rsid w:val="302A3240"/>
    <w:rsid w:val="34567DF2"/>
    <w:rsid w:val="34A63039"/>
    <w:rsid w:val="365445CC"/>
    <w:rsid w:val="385950D4"/>
    <w:rsid w:val="39BF5F1D"/>
    <w:rsid w:val="3B38101E"/>
    <w:rsid w:val="3D7A6218"/>
    <w:rsid w:val="3EEA4CD8"/>
    <w:rsid w:val="41AD0392"/>
    <w:rsid w:val="45790B64"/>
    <w:rsid w:val="486F7876"/>
    <w:rsid w:val="490B241B"/>
    <w:rsid w:val="495642AF"/>
    <w:rsid w:val="4D926C66"/>
    <w:rsid w:val="4F8D7868"/>
    <w:rsid w:val="4FB24959"/>
    <w:rsid w:val="51D32A1D"/>
    <w:rsid w:val="52754DA9"/>
    <w:rsid w:val="531959FF"/>
    <w:rsid w:val="536C5D4E"/>
    <w:rsid w:val="536E5A80"/>
    <w:rsid w:val="597B0EF6"/>
    <w:rsid w:val="5E520C3C"/>
    <w:rsid w:val="5F3C1CE1"/>
    <w:rsid w:val="600C3801"/>
    <w:rsid w:val="61B258C7"/>
    <w:rsid w:val="628030DA"/>
    <w:rsid w:val="62C12120"/>
    <w:rsid w:val="63BE65AF"/>
    <w:rsid w:val="66EF0368"/>
    <w:rsid w:val="6A4F1BD2"/>
    <w:rsid w:val="6C7F2654"/>
    <w:rsid w:val="717604C9"/>
    <w:rsid w:val="72031631"/>
    <w:rsid w:val="74884070"/>
    <w:rsid w:val="74886410"/>
    <w:rsid w:val="7516167C"/>
    <w:rsid w:val="76D11FC2"/>
    <w:rsid w:val="790E1C4B"/>
    <w:rsid w:val="7BB5399C"/>
    <w:rsid w:val="7BED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2424</Words>
  <Characters>2744</Characters>
  <Lines>0</Lines>
  <Paragraphs>0</Paragraphs>
  <TotalTime>0</TotalTime>
  <ScaleCrop>false</ScaleCrop>
  <LinksUpToDate>false</LinksUpToDate>
  <CharactersWithSpaces>2813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2025-04-09T22:07:00Z</dcterms:created>
  <dc:creator>Administrator</dc:creator>
  <cp:lastModifiedBy>琼台师范学院学生</cp:lastModifiedBy>
  <dcterms:modified xsi:type="dcterms:W3CDTF">2025-04-21T08:42:57Z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eyJoZGlkIjoiNTM0ZGY2NzQ3MDNjYTk2ZGJmYTYwZDI0YWM2MzE3MDkiLCJ1c2VySWQiOiI5NDIzOTExNDQifQ==</vt:lpwstr>
  </property>
  <property fmtid="{D5CDD505-2E9C-101B-9397-08002B2CF9AE}" pid="4" name="ICV">
    <vt:lpwstr>7881B61B5B3948328A22301D6A7DC3B6_12</vt:lpwstr>
  </property>
</Properties>
</file>